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277F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4445</wp:posOffset>
            </wp:positionV>
            <wp:extent cx="1008380" cy="88519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5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85pt;height:68pt;z-index:251657216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E37560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E375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E375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bookmarkStart w:id="0" w:name="doc1"/>
    </w:p>
    <w:p w:rsidR="00000000" w:rsidRDefault="00E37560">
      <w:pPr>
        <w:pStyle w:val="1"/>
        <w:jc w:val="center"/>
        <w:rPr>
          <w:sz w:val="24"/>
          <w:szCs w:val="24"/>
        </w:rPr>
      </w:pPr>
      <w:r>
        <w:rPr>
          <w:sz w:val="28"/>
          <w:szCs w:val="28"/>
        </w:rPr>
        <w:t>Органы ПФР по Челябинской области оказывают украинцам консультационную помощь</w:t>
      </w:r>
    </w:p>
    <w:p w:rsidR="00000000" w:rsidRDefault="00E37560">
      <w:pPr>
        <w:pStyle w:val="ac"/>
        <w:ind w:firstLine="708"/>
      </w:pPr>
      <w:r>
        <w:t>На сегодняшний день 169 граждан Украины обратились в органы ПФР Челябинской области с  вопросом о праве назначения пенсии на территории Российской Федерации. Из них с заявлен</w:t>
      </w:r>
      <w:r>
        <w:t>ием о назначении пенсии и других выплат - четыре человека, (одному из них пенсия уже назначена), по трем заявлениям запрошены пенсионные дела из Украины. Остальные граждане на момент обращения право на пенсию не имели.</w:t>
      </w:r>
    </w:p>
    <w:p w:rsidR="00000000" w:rsidRDefault="00E37560">
      <w:pPr>
        <w:pStyle w:val="ac"/>
        <w:ind w:firstLine="708"/>
      </w:pPr>
      <w:r>
        <w:t>В целях оказания помощи гражданам Укр</w:t>
      </w:r>
      <w:r>
        <w:t>аины органами ПФР направлены памятки в УПФР в городах и районах, а с августа организован еженедельный выездной прием специалистов ОПФР по Челябинской области во всех пунктах временного размещения украинцев. Помимо сотрудников областного отделения,  также о</w:t>
      </w:r>
      <w:r>
        <w:t>казывают консультационную помощь специалисты шести управлений ПФР в городах и районах. Наибольшее количество обращений зарегистрировано в г. Троицке (52), г. Златоусте(43) и г. Кыштыме (38).</w:t>
      </w:r>
    </w:p>
    <w:p w:rsidR="00000000" w:rsidRDefault="00E37560">
      <w:pPr>
        <w:pStyle w:val="ac"/>
      </w:pPr>
      <w:r>
        <w:t xml:space="preserve">    </w:t>
      </w:r>
      <w:r>
        <w:t>Напомним, что право на пенсионное обеспечение по законодатель</w:t>
      </w:r>
      <w:r>
        <w:t>ству Российской Федерации лиц, прибывших на территорию РФ из Украины, зависит от их статуса. Граждане РФ, постоянно проживавшие на Украине и вернувшиеся в Россию, имеют право на пенсионное обеспечение в соответствии с законодательством Российской Федерации</w:t>
      </w:r>
      <w:r>
        <w:t xml:space="preserve"> в полном объеме. У граждан Украины право на пенсионное обеспечение возникает при постоянном проживании на территории России, подтверждаемым видом на жительство, выдаваемым территориальными органами ФМС России.</w:t>
      </w:r>
    </w:p>
    <w:p w:rsidR="00000000" w:rsidRDefault="00E37560">
      <w:pPr>
        <w:pStyle w:val="ac"/>
      </w:pPr>
      <w:r>
        <w:t xml:space="preserve">    </w:t>
      </w:r>
      <w:r>
        <w:t>Лица, получившие в России статус беженца,</w:t>
      </w:r>
      <w:r>
        <w:t xml:space="preserve"> право на пенсионное обеспечение имеют наравне с гражданами Российской Федерации на период действия статуса беженца, подтверждаемого удостоверением беженца установленного образца, выдаваемого территориальными органами ФМС России. На лиц из числа иностранны</w:t>
      </w:r>
      <w:r>
        <w:t>х граждан, которым предоставлено временное убежище, право на пенсионное обеспечение не распространяется.</w:t>
      </w:r>
    </w:p>
    <w:p w:rsidR="00000000" w:rsidRDefault="00E37560">
      <w:pPr>
        <w:pStyle w:val="ac"/>
        <w:spacing w:after="0"/>
      </w:pPr>
      <w:r>
        <w:t xml:space="preserve">     </w:t>
      </w:r>
      <w:r>
        <w:t>Для назначения российской пенсии гражданами, прибывшими с территории Украины, представляются следующие документы:</w:t>
      </w:r>
    </w:p>
    <w:p w:rsidR="00000000" w:rsidRDefault="00E37560">
      <w:pPr>
        <w:pStyle w:val="ac"/>
        <w:spacing w:after="0"/>
      </w:pPr>
      <w:r>
        <w:t>- документ, удостоверяющий лично</w:t>
      </w:r>
      <w:r>
        <w:t>сть: для иностранных граждан — вид на жительство, для граждан Российской Федерации — паспорт гражданина Российской Федерации, для беженцев - удостоверение беженца;</w:t>
      </w:r>
    </w:p>
    <w:p w:rsidR="00000000" w:rsidRDefault="00E37560">
      <w:pPr>
        <w:pStyle w:val="ac"/>
        <w:spacing w:after="0"/>
      </w:pPr>
      <w:r>
        <w:t>- о нетрудоспособных членах семьи;</w:t>
      </w:r>
    </w:p>
    <w:p w:rsidR="00000000" w:rsidRDefault="00E37560">
      <w:pPr>
        <w:pStyle w:val="ac"/>
        <w:spacing w:after="0"/>
      </w:pPr>
      <w:r>
        <w:t>- об установлении инвалидности;</w:t>
      </w:r>
    </w:p>
    <w:p w:rsidR="00000000" w:rsidRDefault="00E37560">
      <w:pPr>
        <w:pStyle w:val="ac"/>
        <w:spacing w:after="0"/>
      </w:pPr>
      <w:r>
        <w:t>- о смерти кормильца (кор</w:t>
      </w:r>
      <w:r>
        <w:t>мильцев) и родственных с ним отношениях;</w:t>
      </w:r>
    </w:p>
    <w:p w:rsidR="00000000" w:rsidRDefault="00E37560">
      <w:pPr>
        <w:pStyle w:val="ac"/>
        <w:spacing w:after="0"/>
        <w:rPr>
          <w:rFonts w:ascii="Arial" w:hAnsi="Arial" w:cs="Arial"/>
          <w:sz w:val="22"/>
          <w:szCs w:val="22"/>
        </w:rPr>
      </w:pPr>
      <w:r>
        <w:t>- документы о стаже, о среднемесячном заработке за любые 60 месяцев работы подряд до 01.01.2002 г.  По всем вопросам необходимо обращаться в территориальные органы Пенсионного фонда Челябинской области.</w:t>
      </w:r>
    </w:p>
    <w:p w:rsidR="00000000" w:rsidRDefault="00E37560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E37560">
      <w:pPr>
        <w:jc w:val="left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26.08.2014</w:t>
      </w:r>
    </w:p>
    <w:bookmarkEnd w:id="0"/>
    <w:p w:rsidR="00E37560" w:rsidRDefault="00E37560">
      <w:pPr>
        <w:jc w:val="center"/>
      </w:pPr>
    </w:p>
    <w:sectPr w:rsidR="00E375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75" w:left="1701" w:header="708" w:footer="899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60" w:rsidRDefault="00E37560">
      <w:pPr>
        <w:spacing w:after="0"/>
      </w:pPr>
      <w:r>
        <w:separator/>
      </w:r>
    </w:p>
  </w:endnote>
  <w:endnote w:type="continuationSeparator" w:id="0">
    <w:p w:rsidR="00E37560" w:rsidRDefault="00E375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5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77F4">
    <w:pPr>
      <w:pStyle w:val="aa"/>
    </w:pPr>
    <w:r>
      <w:rPr>
        <w:noProof/>
        <w:lang w:eastAsia="ru-RU"/>
      </w:rPr>
      <w:drawing>
        <wp:inline distT="0" distB="0" distL="0" distR="0">
          <wp:extent cx="5943600" cy="51435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5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60" w:rsidRDefault="00E37560">
      <w:pPr>
        <w:spacing w:after="0"/>
      </w:pPr>
      <w:r>
        <w:separator/>
      </w:r>
    </w:p>
  </w:footnote>
  <w:footnote w:type="continuationSeparator" w:id="0">
    <w:p w:rsidR="00E37560" w:rsidRDefault="00E375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560">
    <w:pPr>
      <w:pStyle w:val="ae"/>
      <w:tabs>
        <w:tab w:val="clear" w:pos="4677"/>
        <w:tab w:val="clear" w:pos="9355"/>
        <w:tab w:val="left" w:pos="12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5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7F4"/>
    <w:rsid w:val="003277F4"/>
    <w:rsid w:val="00E3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>MultiDVD Team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subject/>
  <dc:creator>user</dc:creator>
  <cp:keywords/>
  <cp:lastModifiedBy>esmih</cp:lastModifiedBy>
  <cp:revision>2</cp:revision>
  <cp:lastPrinted>2009-03-31T10:23:00Z</cp:lastPrinted>
  <dcterms:created xsi:type="dcterms:W3CDTF">2014-09-02T08:49:00Z</dcterms:created>
  <dcterms:modified xsi:type="dcterms:W3CDTF">2014-09-02T08:49:00Z</dcterms:modified>
</cp:coreProperties>
</file>