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11160">
      <w:pPr>
        <w:rPr>
          <w:b/>
          <w:bCs/>
          <w:color w:val="000000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69.75pt" filled="t">
            <v:fill color2="black"/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pt;margin-top:.35pt;width:270.75pt;height:67.9pt;z-index:1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000000" w:rsidRDefault="00E1116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УПФР в Еткульском р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айоне</w:t>
                  </w:r>
                </w:p>
                <w:p w:rsidR="00000000" w:rsidRDefault="00E1116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  <w:p w:rsidR="00000000" w:rsidRDefault="00E111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2-12-42, www.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admetkul</w:t>
                  </w:r>
                  <w:r>
                    <w:rPr>
                      <w:rFonts w:ascii="Arial" w:hAnsi="Arial" w:cs="Arial"/>
                      <w:b/>
                    </w:rPr>
                    <w:t>.ru</w:t>
                  </w:r>
                </w:p>
              </w:txbxContent>
            </v:textbox>
          </v:shape>
        </w:pict>
      </w:r>
      <w:r>
        <w:pict>
          <v:shape id="_x0000_s1027" type="#_x0000_t75" style="position:absolute;left:0;text-align:left;margin-left:366.3pt;margin-top:.35pt;width:79.3pt;height:69.6pt;z-index:2;mso-wrap-distance-left:0;mso-wrap-distance-right:0;mso-position-horizontal-relative:text;mso-position-vertical-relative:text" filled="t">
            <v:fill color2="black"/>
            <v:imagedata r:id="rId8" o:title=""/>
            <w10:wrap type="square"/>
          </v:shape>
        </w:pict>
      </w:r>
      <w:bookmarkStart w:id="0" w:name="doc1"/>
    </w:p>
    <w:p w:rsidR="00000000" w:rsidRPr="00FB1F75" w:rsidRDefault="00E11160">
      <w:pPr>
        <w:ind w:firstLine="900"/>
        <w:jc w:val="center"/>
        <w:rPr>
          <w:b/>
          <w:bCs/>
          <w:color w:val="000000"/>
        </w:rPr>
      </w:pPr>
      <w:r w:rsidRPr="00FB1F75">
        <w:rPr>
          <w:b/>
          <w:bCs/>
          <w:color w:val="000000"/>
        </w:rPr>
        <w:t xml:space="preserve">В августе наследникам  пенсионных накоплений ПФР </w:t>
      </w:r>
    </w:p>
    <w:p w:rsidR="00000000" w:rsidRPr="00FB1F75" w:rsidRDefault="00E11160">
      <w:pPr>
        <w:ind w:firstLine="900"/>
        <w:jc w:val="center"/>
        <w:rPr>
          <w:b/>
          <w:bCs/>
        </w:rPr>
      </w:pPr>
      <w:r w:rsidRPr="00FB1F75">
        <w:rPr>
          <w:b/>
          <w:bCs/>
          <w:color w:val="000000"/>
        </w:rPr>
        <w:t>доплатит свыше 3,2 млн. рублей</w:t>
      </w:r>
    </w:p>
    <w:p w:rsidR="00000000" w:rsidRDefault="00E11160">
      <w:pPr>
        <w:ind w:firstLine="900"/>
        <w:jc w:val="center"/>
        <w:rPr>
          <w:b/>
          <w:bCs/>
        </w:rPr>
      </w:pPr>
    </w:p>
    <w:p w:rsidR="00000000" w:rsidRDefault="00E11160">
      <w:pPr>
        <w:ind w:firstLine="900"/>
        <w:rPr>
          <w:color w:val="000000"/>
        </w:rPr>
      </w:pPr>
      <w:r>
        <w:rPr>
          <w:color w:val="000000"/>
        </w:rPr>
        <w:t xml:space="preserve">Отделение Пенсионного фонда РФ по Челябинской области в августе доплатит </w:t>
      </w:r>
      <w:hyperlink r:id="rId9" w:history="1">
        <w:r>
          <w:rPr>
            <w:rStyle w:val="a4"/>
          </w:rPr>
          <w:t>правопреемникам</w:t>
        </w:r>
      </w:hyperlink>
      <w:r>
        <w:rPr>
          <w:color w:val="000000"/>
        </w:rPr>
        <w:t xml:space="preserve"> 3,2 млн. рублей пенси</w:t>
      </w:r>
      <w:r>
        <w:rPr>
          <w:color w:val="000000"/>
        </w:rPr>
        <w:t xml:space="preserve">онных накоплений умерших. На дополнительную выплату претендуют 704 южноуральца. </w:t>
      </w:r>
    </w:p>
    <w:p w:rsidR="00000000" w:rsidRDefault="00E11160">
      <w:pPr>
        <w:ind w:firstLine="900"/>
        <w:rPr>
          <w:color w:val="000000"/>
        </w:rPr>
      </w:pPr>
      <w:r>
        <w:rPr>
          <w:color w:val="000000"/>
        </w:rPr>
        <w:t>Напомним, что сначала правопреемники получают «пенсионные» деньги умершего, учтенные на его лицевом счете на дату смерти. Затем в августе следующего года ПФР выплачивает «насл</w:t>
      </w:r>
      <w:r>
        <w:rPr>
          <w:color w:val="000000"/>
        </w:rPr>
        <w:t>едникам» средства, поступившие на пенсионный счет умершего после принятия решения о перечислении основной суммы.</w:t>
      </w:r>
    </w:p>
    <w:p w:rsidR="00000000" w:rsidRDefault="00E11160">
      <w:pPr>
        <w:ind w:firstLine="900"/>
        <w:rPr>
          <w:color w:val="000000"/>
        </w:rPr>
      </w:pPr>
      <w:r>
        <w:rPr>
          <w:color w:val="000000"/>
        </w:rPr>
        <w:t>Доплата производится автоматически. Деньги правопреемникам перечисляются до 15 августа на банковский счет, который они указали в поданном ранее</w:t>
      </w:r>
      <w:r>
        <w:rPr>
          <w:color w:val="000000"/>
        </w:rPr>
        <w:t xml:space="preserve"> заявлении. </w:t>
      </w:r>
    </w:p>
    <w:p w:rsidR="00000000" w:rsidRDefault="00E11160">
      <w:pPr>
        <w:ind w:firstLine="900"/>
        <w:rPr>
          <w:color w:val="000000"/>
        </w:rPr>
      </w:pPr>
      <w:r>
        <w:rPr>
          <w:color w:val="000000"/>
        </w:rPr>
        <w:t xml:space="preserve">Всего с начала года отделение ПФР выплатило правопреемникам (с учетом доплаты) более 34,5 млн. рублей. При этом в прошлом году южноуральцы «унаследовали» на 1,3 млн. рублей меньше. Растет с каждым годом и размер выплат: в 2013 г. максимальная </w:t>
      </w:r>
      <w:r>
        <w:rPr>
          <w:color w:val="000000"/>
        </w:rPr>
        <w:t>сумма, которую получил правопреемник, составила 280 тыс. рублей.</w:t>
      </w:r>
    </w:p>
    <w:p w:rsidR="00000000" w:rsidRDefault="00E11160">
      <w:pPr>
        <w:ind w:firstLine="900"/>
        <w:rPr>
          <w:b/>
        </w:rPr>
      </w:pPr>
      <w:r>
        <w:rPr>
          <w:color w:val="000000"/>
        </w:rPr>
        <w:t>Обращаем внимание, что в случае смерти человека правопреемнику</w:t>
      </w:r>
      <w:r>
        <w:t xml:space="preserve"> выплачиваются все страховые взносы, поступавшие от работодателя после 2002 года на формирование накопительной части трудовой пен</w:t>
      </w:r>
      <w:r>
        <w:t>сии (до назначения этой части). Кроме того, если умершему была назначена срочная пенсионная выплата, недополученная сумма также выплачивается «наследникам». Обращаться за получением денег необходимо в управление ПФР по месту жительства в течение шести меся</w:t>
      </w:r>
      <w:r>
        <w:t xml:space="preserve">цев со дня смерти человека. </w:t>
      </w:r>
    </w:p>
    <w:p w:rsidR="00000000" w:rsidRDefault="00E11160">
      <w:pPr>
        <w:ind w:firstLine="900"/>
        <w:rPr>
          <w:b/>
          <w:color w:val="000000"/>
          <w:sz w:val="26"/>
          <w:szCs w:val="26"/>
        </w:rPr>
      </w:pPr>
      <w:r>
        <w:rPr>
          <w:b/>
        </w:rPr>
        <w:t>Для справки:</w:t>
      </w:r>
      <w:r>
        <w:t xml:space="preserve"> накопительная часть трудовой пенсии формируется у работающих граждан 1967 года рождения и моложе за счет уплаты страховых взносов в ПФР, у всех участников программы государственного софинансирования и у тех, кто на</w:t>
      </w:r>
      <w:r>
        <w:t>правил материнский капитал на формирование будущей пенсии. Также в 2002-2004 гг. накопительная часть пенсии в обязательном порядке формировалась у мужчин 1953-1966 года рождения и у женщин 1957-1966 года рождения.</w:t>
      </w:r>
    </w:p>
    <w:p w:rsidR="00E11160" w:rsidRDefault="00E11160">
      <w:pPr>
        <w:ind w:firstLine="900"/>
      </w:pPr>
      <w:r>
        <w:rPr>
          <w:b/>
          <w:color w:val="000000"/>
          <w:sz w:val="26"/>
          <w:szCs w:val="26"/>
        </w:rPr>
        <w:t>13.08.2013</w:t>
      </w:r>
      <w:bookmarkEnd w:id="0"/>
    </w:p>
    <w:sectPr w:rsidR="00E1116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75" w:left="1701" w:header="708" w:footer="89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160" w:rsidRDefault="00E11160">
      <w:pPr>
        <w:spacing w:after="0"/>
      </w:pPr>
      <w:r>
        <w:separator/>
      </w:r>
    </w:p>
  </w:endnote>
  <w:endnote w:type="continuationSeparator" w:id="1">
    <w:p w:rsidR="00E11160" w:rsidRDefault="00E111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11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1160">
    <w:pPr>
      <w:pStyle w:val="a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8pt;height:40.5pt" filled="t">
          <v:fill color2="black"/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11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160" w:rsidRDefault="00E11160">
      <w:pPr>
        <w:spacing w:after="0"/>
      </w:pPr>
      <w:r>
        <w:separator/>
      </w:r>
    </w:p>
  </w:footnote>
  <w:footnote w:type="continuationSeparator" w:id="1">
    <w:p w:rsidR="00E11160" w:rsidRDefault="00E1116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1160">
    <w:pPr>
      <w:pStyle w:val="ae"/>
      <w:tabs>
        <w:tab w:val="clear" w:pos="4677"/>
        <w:tab w:val="clear" w:pos="9355"/>
        <w:tab w:val="left" w:pos="12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11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F75"/>
    <w:rsid w:val="00E11160"/>
    <w:rsid w:val="00FB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next w:val="a"/>
    <w:qFormat/>
    <w:pPr>
      <w:keepNext/>
      <w:keepLines/>
      <w:numPr>
        <w:ilvl w:val="1"/>
        <w:numId w:val="1"/>
      </w:numPr>
      <w:suppressAutoHyphens/>
      <w:spacing w:before="360" w:after="120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20">
    <w:name w:val="Источник и дата 2"/>
    <w:basedOn w:val="10"/>
    <w:rPr>
      <w:rFonts w:ascii="Arial" w:hAnsi="Arial" w:cs="Arial"/>
      <w:sz w:val="16"/>
      <w:lang w:val="ru-RU" w:eastAsia="ar-SA" w:bidi="ar-SA"/>
    </w:rPr>
  </w:style>
  <w:style w:type="character" w:customStyle="1" w:styleId="9">
    <w:name w:val=" Знак Знак9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8">
    <w:name w:val=" Знак Знак8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5">
    <w:name w:val="Текст документа Знак Знак"/>
    <w:basedOn w:val="10"/>
    <w:rPr>
      <w:rFonts w:ascii="Arial" w:eastAsia="Verdana" w:hAnsi="Arial" w:cs="Arial"/>
      <w:color w:val="000000"/>
      <w:lang w:val="ru-RU" w:eastAsia="ar-SA" w:bidi="ar-SA"/>
    </w:rPr>
  </w:style>
  <w:style w:type="character" w:customStyle="1" w:styleId="21">
    <w:name w:val="Заголовок 2 Знак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0">
    <w:name w:val=" Знак Знак10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">
    <w:name w:val=" Знак Знак4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11">
    <w:name w:val=" Знак Знак11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">
    <w:name w:val=" Знак Знак5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a6">
    <w:name w:val="Strong"/>
    <w:basedOn w:val="10"/>
    <w:qFormat/>
    <w:rPr>
      <w:b/>
      <w:bCs/>
    </w:rPr>
  </w:style>
  <w:style w:type="character" w:customStyle="1" w:styleId="highlight1">
    <w:name w:val="highlight1"/>
    <w:basedOn w:val="10"/>
    <w:rPr>
      <w:b/>
      <w:bCs/>
      <w:color w:val="FF0000"/>
    </w:rPr>
  </w:style>
  <w:style w:type="character" w:customStyle="1" w:styleId="day7">
    <w:name w:val="da y7"/>
    <w:basedOn w:val="10"/>
  </w:style>
  <w:style w:type="character" w:customStyle="1" w:styleId="annonce-sources-link">
    <w:name w:val="annonce-sources-link"/>
    <w:basedOn w:val="10"/>
  </w:style>
  <w:style w:type="character" w:customStyle="1" w:styleId="message-date-suffix">
    <w:name w:val="message-date-suffix"/>
    <w:basedOn w:val="10"/>
  </w:style>
  <w:style w:type="character" w:customStyle="1" w:styleId="13">
    <w:name w:val=" Знак Знак13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">
    <w:name w:val=" Знак Знак12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docauthorn">
    <w:name w:val="docauthorn"/>
    <w:basedOn w:val="10"/>
  </w:style>
  <w:style w:type="paragraph" w:customStyle="1" w:styleId="a7">
    <w:name w:val="Заголовок"/>
    <w:basedOn w:val="a"/>
    <w:next w:val="a8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</w:style>
  <w:style w:type="paragraph" w:styleId="a9">
    <w:name w:val="List"/>
    <w:basedOn w:val="a8"/>
    <w:rPr>
      <w:rFonts w:cs="Mangal"/>
    </w:rPr>
  </w:style>
  <w:style w:type="paragraph" w:customStyle="1" w:styleId="14">
    <w:name w:val="Название1"/>
    <w:basedOn w:val="a"/>
    <w:pPr>
      <w:suppressLineNumbers/>
      <w:spacing w:before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16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toc 2"/>
    <w:basedOn w:val="a"/>
    <w:next w:val="a"/>
    <w:pPr>
      <w:spacing w:after="0"/>
      <w:ind w:left="24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pPr>
      <w:spacing w:after="0"/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pPr>
      <w:spacing w:after="0"/>
      <w:ind w:left="72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"/>
    <w:next w:val="a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"/>
    <w:next w:val="a"/>
    <w:pPr>
      <w:spacing w:after="0"/>
      <w:ind w:left="1920"/>
      <w:jc w:val="left"/>
    </w:pPr>
    <w:rPr>
      <w:sz w:val="18"/>
      <w:szCs w:val="18"/>
    </w:rPr>
  </w:style>
  <w:style w:type="paragraph" w:customStyle="1" w:styleId="ab">
    <w:name w:val="Темы дня"/>
    <w:basedOn w:val="a"/>
    <w:pPr>
      <w:keepLines/>
      <w:spacing w:after="240"/>
    </w:pPr>
    <w:rPr>
      <w:i/>
    </w:rPr>
  </w:style>
  <w:style w:type="paragraph" w:styleId="ac">
    <w:name w:val="Normal (Web)"/>
    <w:basedOn w:val="a"/>
  </w:style>
  <w:style w:type="paragraph" w:customStyle="1" w:styleId="ad">
    <w:name w:val="Текст документа"/>
    <w:basedOn w:val="ac"/>
    <w:pPr>
      <w:spacing w:before="280" w:after="280" w:line="360" w:lineRule="auto"/>
      <w:jc w:val="left"/>
    </w:pPr>
    <w:rPr>
      <w:rFonts w:ascii="Arial" w:eastAsia="Verdana" w:hAnsi="Arial" w:cs="Arial"/>
      <w:color w:val="000000"/>
      <w:sz w:val="20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Цитата1"/>
    <w:basedOn w:val="ab"/>
    <w:rPr>
      <w:bCs/>
    </w:rPr>
  </w:style>
  <w:style w:type="paragraph" w:customStyle="1" w:styleId="message">
    <w:name w:val="message"/>
    <w:basedOn w:val="a"/>
    <w:pPr>
      <w:spacing w:before="280" w:after="280" w:line="360" w:lineRule="auto"/>
      <w:ind w:left="1440"/>
      <w:jc w:val="left"/>
    </w:pPr>
    <w:rPr>
      <w:rFonts w:ascii="Verdana" w:eastAsia="Verdana" w:hAnsi="Verdana" w:cs="Verdana"/>
      <w:sz w:val="20"/>
      <w:szCs w:val="20"/>
    </w:rPr>
  </w:style>
  <w:style w:type="paragraph" w:customStyle="1" w:styleId="af0">
    <w:name w:val="Содержимое врезки"/>
    <w:basedOn w:val="a8"/>
  </w:style>
  <w:style w:type="paragraph" w:customStyle="1" w:styleId="101">
    <w:name w:val="Оглавление 10"/>
    <w:basedOn w:val="15"/>
    <w:pPr>
      <w:tabs>
        <w:tab w:val="right" w:leader="dot" w:pos="7091"/>
      </w:tabs>
      <w:ind w:left="2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viplata_pravopriemnikam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Company>MultiDVD Team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ВЕДОМОСТИ, 20</dc:title>
  <dc:creator>user</dc:creator>
  <cp:lastModifiedBy>uilyashko</cp:lastModifiedBy>
  <cp:revision>2</cp:revision>
  <cp:lastPrinted>2009-03-31T10:23:00Z</cp:lastPrinted>
  <dcterms:created xsi:type="dcterms:W3CDTF">2013-08-14T02:59:00Z</dcterms:created>
  <dcterms:modified xsi:type="dcterms:W3CDTF">2013-08-14T02:59:00Z</dcterms:modified>
</cp:coreProperties>
</file>