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033B07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8435F">
              <w:rPr>
                <w:sz w:val="26"/>
                <w:szCs w:val="26"/>
              </w:rPr>
              <w:t xml:space="preserve">1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43F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643F60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/9</w:t>
            </w:r>
            <w:r w:rsidR="00643F60">
              <w:rPr>
                <w:sz w:val="26"/>
                <w:szCs w:val="26"/>
              </w:rPr>
              <w:t>21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4926D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926DC">
              <w:rPr>
                <w:b/>
                <w:i/>
                <w:iCs/>
                <w:sz w:val="22"/>
                <w:szCs w:val="22"/>
              </w:rPr>
              <w:t>15 Кущ Елены Юрьевны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№ 15 Кущ Елены Юрьев</w:t>
      </w:r>
      <w:r>
        <w:rPr>
          <w:sz w:val="26"/>
          <w:szCs w:val="26"/>
        </w:rPr>
        <w:t xml:space="preserve">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15E67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031252">
        <w:rPr>
          <w:sz w:val="26"/>
          <w:szCs w:val="26"/>
        </w:rPr>
        <w:t>Кущ Елены Юрьевны</w:t>
      </w:r>
      <w:r w:rsidRPr="000372B4">
        <w:rPr>
          <w:sz w:val="26"/>
          <w:szCs w:val="26"/>
        </w:rPr>
        <w:t xml:space="preserve"> 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  № 15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15 </w:t>
      </w:r>
      <w:r>
        <w:rPr>
          <w:sz w:val="26"/>
          <w:szCs w:val="26"/>
        </w:rPr>
        <w:t>Кущ Елену Юрьевну</w:t>
      </w:r>
      <w:r w:rsidRPr="000372B4">
        <w:rPr>
          <w:sz w:val="26"/>
          <w:szCs w:val="26"/>
        </w:rPr>
        <w:t>, 197</w:t>
      </w:r>
      <w:r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года рождения, выдвинутую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B6F9D">
        <w:rPr>
          <w:sz w:val="26"/>
          <w:szCs w:val="26"/>
        </w:rPr>
        <w:t>1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A34574">
        <w:rPr>
          <w:sz w:val="26"/>
          <w:szCs w:val="26"/>
        </w:rPr>
        <w:t>35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8B6F9D">
        <w:rPr>
          <w:sz w:val="26"/>
          <w:szCs w:val="26"/>
        </w:rPr>
        <w:t>Кущ Е.Ю.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15E67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19</cp:revision>
  <cp:lastPrinted>2025-07-21T11:02:00Z</cp:lastPrinted>
  <dcterms:created xsi:type="dcterms:W3CDTF">2024-07-04T12:37:00Z</dcterms:created>
  <dcterms:modified xsi:type="dcterms:W3CDTF">2025-07-26T06:31:00Z</dcterms:modified>
</cp:coreProperties>
</file>