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6D7C5C">
      <w:pPr>
        <w:rPr>
          <w:b/>
          <w:color w:val="000000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66.3pt;margin-top:.35pt;width:79.4pt;height:69.7pt;z-index:2;mso-wrap-distance-left:0;mso-wrap-distance-right:0" filled="t">
            <v:fill color2="black"/>
            <v:imagedata r:id="rId7" o:title=""/>
            <w10:wrap type="square"/>
          </v:shape>
        </w:pict>
      </w:r>
      <w:r>
        <w:rPr>
          <w:sz w:val="28"/>
          <w:szCs w:val="28"/>
        </w:rPr>
        <w:pict>
          <v:shape id="_x0000_i1025" type="#_x0000_t75" style="width:95.25pt;height:69.75pt" filled="t">
            <v:fill color2="black"/>
            <v:imagedata r:id="rId8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5pt;margin-top:.35pt;width:270.85pt;height:68pt;z-index:1;mso-wrap-distance-left:9.05pt;mso-wrap-distance-right:9.05pt;mso-position-horizontal-relative:text;mso-position-vertical-relative:text" stroked="f">
            <v:fill opacity="0" color2="black"/>
            <v:textbox inset="0,0,0,0">
              <w:txbxContent>
                <w:p w:rsidR="00000000" w:rsidRDefault="006D7C5C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УПФР в Еткульском районе</w:t>
                  </w:r>
                </w:p>
                <w:p w:rsidR="00000000" w:rsidRDefault="006D7C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Чел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ябинской области</w:t>
                  </w:r>
                </w:p>
                <w:p w:rsidR="00000000" w:rsidRDefault="006D7C5C">
                  <w:pPr>
                    <w:jc w:val="center"/>
                  </w:pPr>
                  <w:r>
                    <w:rPr>
                      <w:rFonts w:ascii="Arial" w:hAnsi="Arial" w:cs="Arial"/>
                      <w:b/>
                    </w:rPr>
                    <w:t>2-12-42, www.</w:t>
                  </w:r>
                  <w:r>
                    <w:rPr>
                      <w:rFonts w:ascii="Arial" w:hAnsi="Arial" w:cs="Arial"/>
                      <w:b/>
                      <w:lang w:val="en-US"/>
                    </w:rPr>
                    <w:t>admetkul</w:t>
                  </w:r>
                  <w:r>
                    <w:rPr>
                      <w:rFonts w:ascii="Arial" w:hAnsi="Arial" w:cs="Arial"/>
                      <w:b/>
                    </w:rPr>
                    <w:t>.ru</w:t>
                  </w:r>
                </w:p>
              </w:txbxContent>
            </v:textbox>
          </v:shape>
        </w:pict>
      </w:r>
      <w:bookmarkStart w:id="0" w:name="doc1"/>
    </w:p>
    <w:p w:rsidR="00000000" w:rsidRDefault="006D7C5C">
      <w:pPr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До конца года нужно сделать выбор: какой процент будет направляться на формирование накопительной части пенсии</w:t>
      </w:r>
    </w:p>
    <w:p w:rsidR="00000000" w:rsidRDefault="006D7C5C">
      <w:pPr>
        <w:jc w:val="center"/>
        <w:rPr>
          <w:color w:val="000000"/>
          <w:sz w:val="26"/>
          <w:szCs w:val="26"/>
        </w:rPr>
      </w:pPr>
    </w:p>
    <w:p w:rsidR="00000000" w:rsidRDefault="006D7C5C">
      <w:pPr>
        <w:ind w:firstLine="900"/>
        <w:rPr>
          <w:color w:val="000000"/>
        </w:rPr>
      </w:pPr>
      <w:r>
        <w:rPr>
          <w:color w:val="000000"/>
        </w:rPr>
        <w:t>С 2004 г. южноуральцы заключили более 960 тыс. договоров с негосударственными  пенсионными фондами (НПФ). Число жителей Челябинской области,</w:t>
      </w:r>
      <w:r>
        <w:rPr>
          <w:color w:val="000000"/>
        </w:rPr>
        <w:t xml:space="preserve"> доверивших пенсионные накопления НПФ, в текущем году составило 75 тыс. человек, что на 10 тыс.  больше по сравнению с аналогичным периодом прошлого года. </w:t>
      </w:r>
    </w:p>
    <w:p w:rsidR="00000000" w:rsidRDefault="006D7C5C">
      <w:pPr>
        <w:ind w:firstLine="900"/>
        <w:rPr>
          <w:color w:val="000000"/>
        </w:rPr>
      </w:pPr>
      <w:r>
        <w:rPr>
          <w:color w:val="000000"/>
        </w:rPr>
        <w:t>Всего южноуральцами было подано почти 1 млн. заявлений о выборе способа инвестирования пенсионных на</w:t>
      </w:r>
      <w:r>
        <w:rPr>
          <w:color w:val="000000"/>
        </w:rPr>
        <w:t>коплений. При этом около 800 тыс. жителей по-прежнему являются «молчунами», так как такого выбор никогда не делали.</w:t>
      </w:r>
    </w:p>
    <w:p w:rsidR="00000000" w:rsidRDefault="006D7C5C">
      <w:pPr>
        <w:rPr>
          <w:color w:val="000000"/>
        </w:rPr>
      </w:pPr>
      <w:r>
        <w:rPr>
          <w:color w:val="000000"/>
        </w:rPr>
        <w:tab/>
        <w:t xml:space="preserve">Обращаем особое внимание, что, выбирая способ инвестирования, жители области автоматические выбирают и размер тарифа страхового взноса (2% </w:t>
      </w:r>
      <w:r>
        <w:rPr>
          <w:color w:val="000000"/>
        </w:rPr>
        <w:t xml:space="preserve">или 6%), который будет направляться на формирование  накопительной части трудовой пенсии. </w:t>
      </w:r>
    </w:p>
    <w:p w:rsidR="00000000" w:rsidRDefault="006D7C5C">
      <w:pPr>
        <w:rPr>
          <w:color w:val="000000"/>
        </w:rPr>
      </w:pPr>
      <w:r>
        <w:rPr>
          <w:color w:val="000000"/>
        </w:rPr>
        <w:tab/>
        <w:t>Как известно, работодатель за всех работников 1967 года рождения и моложе направляет в ПФР 22% от фонда заработной платы. Из этих 16% идут строго на страховую часть</w:t>
      </w:r>
      <w:r>
        <w:rPr>
          <w:color w:val="000000"/>
        </w:rPr>
        <w:t>, а 6% – на накопительную часть. С будущего года на накопительную часть может направляться по-прежнему 6%, а могут идти только 2%, соответственно оставшиеся 4% пойдут на формирование страховой части (</w:t>
      </w:r>
      <w:hyperlink r:id="rId9" w:history="1">
        <w:r>
          <w:rPr>
            <w:rStyle w:val="a4"/>
          </w:rPr>
          <w:t>подробнее</w:t>
        </w:r>
      </w:hyperlink>
      <w:r>
        <w:rPr>
          <w:color w:val="000000"/>
        </w:rPr>
        <w:t>). Принять решение о том, в каком объеме будет формироваться накопительная часть пенсии (2% или 6%), гражданам нужно до конца 2013 года.</w:t>
      </w:r>
    </w:p>
    <w:p w:rsidR="00000000" w:rsidRDefault="006D7C5C">
      <w:pPr>
        <w:ind w:firstLine="900"/>
        <w:rPr>
          <w:color w:val="000000"/>
        </w:rPr>
      </w:pPr>
      <w:r>
        <w:rPr>
          <w:color w:val="000000"/>
        </w:rPr>
        <w:t>В результате у всех, кто уже доверил свою будущую пенсию НПФ, частной УК или же принял такое решение в 2013 году, на н</w:t>
      </w:r>
      <w:r>
        <w:rPr>
          <w:color w:val="000000"/>
        </w:rPr>
        <w:t>акопительную часть пенсии будет направляться по 6%. Выбрав государственную УК «Внешэкономбанк», человек имеет право перечислять 6% или снизить тариф до 2 %. «Молчуны» автоматически получат на финансирование накопительной части трудовой пенсии 2 % тарифа ст</w:t>
      </w:r>
      <w:r>
        <w:rPr>
          <w:color w:val="000000"/>
        </w:rPr>
        <w:t>раховых взносов.</w:t>
      </w:r>
    </w:p>
    <w:p w:rsidR="00000000" w:rsidRDefault="006D7C5C">
      <w:pPr>
        <w:ind w:firstLine="900"/>
        <w:rPr>
          <w:color w:val="000000"/>
        </w:rPr>
      </w:pPr>
      <w:r>
        <w:rPr>
          <w:color w:val="000000"/>
        </w:rPr>
        <w:t>Помните, что страховая часть пенсии гарантированно увеличивается государством за счет ежегодной индексации. При этом средства накопительной части пенсии инвестирует на финансовом рынке выбранным НПФ или УК (где доходность пенсионных накопл</w:t>
      </w:r>
      <w:r>
        <w:rPr>
          <w:color w:val="000000"/>
        </w:rPr>
        <w:t xml:space="preserve">ений зависит только от результатов их инвестирования). В случае смерти человека (до назначения ему накопительной части) накопительная часть пенсии наследуется правопреемниками в полном объеме. </w:t>
      </w:r>
    </w:p>
    <w:p w:rsidR="00000000" w:rsidRDefault="006D7C5C">
      <w:pPr>
        <w:ind w:firstLine="900"/>
        <w:rPr>
          <w:color w:val="000000"/>
        </w:rPr>
      </w:pPr>
      <w:r>
        <w:rPr>
          <w:color w:val="000000"/>
        </w:rPr>
        <w:t>Отметим, что письменное заявление о выборе страховщика по обяз</w:t>
      </w:r>
      <w:r>
        <w:rPr>
          <w:color w:val="000000"/>
        </w:rPr>
        <w:t>ательному пенсионному страхованию можно подать в управление ПФР по месту жительства и через любого трансферагента ПФР (</w:t>
      </w:r>
      <w:hyperlink r:id="rId10" w:history="1">
        <w:r>
          <w:rPr>
            <w:rStyle w:val="a4"/>
          </w:rPr>
          <w:t>список на сайте ОПФР</w:t>
        </w:r>
      </w:hyperlink>
      <w:r>
        <w:rPr>
          <w:color w:val="000000"/>
        </w:rPr>
        <w:t>).</w:t>
      </w:r>
    </w:p>
    <w:p w:rsidR="00000000" w:rsidRDefault="006D7C5C">
      <w:pPr>
        <w:rPr>
          <w:color w:val="000000"/>
        </w:rPr>
      </w:pPr>
    </w:p>
    <w:p w:rsidR="00000000" w:rsidRDefault="006D7C5C">
      <w:r>
        <w:rPr>
          <w:color w:val="000000"/>
        </w:rPr>
        <w:t>31.07.2013</w:t>
      </w:r>
    </w:p>
    <w:bookmarkEnd w:id="0"/>
    <w:p w:rsidR="006D7C5C" w:rsidRDefault="006D7C5C">
      <w:pPr>
        <w:jc w:val="center"/>
      </w:pPr>
    </w:p>
    <w:sectPr w:rsidR="006D7C5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75" w:left="1701" w:header="708" w:footer="89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C5C" w:rsidRDefault="006D7C5C">
      <w:pPr>
        <w:spacing w:after="0"/>
      </w:pPr>
      <w:r>
        <w:separator/>
      </w:r>
    </w:p>
  </w:endnote>
  <w:endnote w:type="continuationSeparator" w:id="1">
    <w:p w:rsidR="006D7C5C" w:rsidRDefault="006D7C5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D7C5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D7C5C">
    <w:pPr>
      <w:pStyle w:val="a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68pt;height:40.5pt" filled="t">
          <v:fill color2="black"/>
          <v:imagedata r:id="rId1" o:title="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D7C5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C5C" w:rsidRDefault="006D7C5C">
      <w:pPr>
        <w:spacing w:after="0"/>
      </w:pPr>
      <w:r>
        <w:separator/>
      </w:r>
    </w:p>
  </w:footnote>
  <w:footnote w:type="continuationSeparator" w:id="1">
    <w:p w:rsidR="006D7C5C" w:rsidRDefault="006D7C5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D7C5C">
    <w:pPr>
      <w:pStyle w:val="ae"/>
      <w:tabs>
        <w:tab w:val="clear" w:pos="4677"/>
        <w:tab w:val="clear" w:pos="9355"/>
        <w:tab w:val="left" w:pos="1260"/>
      </w:tabs>
      <w:ind w:left="-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D7C5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B1C"/>
    <w:rsid w:val="00031B1C"/>
    <w:rsid w:val="006D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20"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next w:val="a"/>
    <w:qFormat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ind w:left="0" w:firstLine="709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customStyle="1" w:styleId="30">
    <w:name w:val=" Знак Знак3"/>
    <w:basedOn w:val="10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20">
    <w:name w:val="Источник и дата 2"/>
    <w:basedOn w:val="10"/>
    <w:rPr>
      <w:rFonts w:ascii="Arial" w:hAnsi="Arial" w:cs="Arial"/>
      <w:sz w:val="16"/>
      <w:lang w:val="ru-RU" w:eastAsia="ar-SA" w:bidi="ar-SA"/>
    </w:rPr>
  </w:style>
  <w:style w:type="character" w:customStyle="1" w:styleId="9">
    <w:name w:val=" Знак Знак9"/>
    <w:basedOn w:val="10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styleId="a3">
    <w:name w:val="page number"/>
    <w:basedOn w:val="10"/>
  </w:style>
  <w:style w:type="character" w:styleId="a4">
    <w:name w:val="Hyperlink"/>
    <w:basedOn w:val="10"/>
    <w:rPr>
      <w:color w:val="0000FF"/>
      <w:u w:val="single"/>
    </w:rPr>
  </w:style>
  <w:style w:type="character" w:customStyle="1" w:styleId="8">
    <w:name w:val=" Знак Знак8"/>
    <w:basedOn w:val="10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5">
    <w:name w:val="Текст документа Знак Знак"/>
    <w:basedOn w:val="10"/>
    <w:rPr>
      <w:rFonts w:ascii="Arial" w:eastAsia="Verdana" w:hAnsi="Arial" w:cs="Arial"/>
      <w:color w:val="000000"/>
      <w:lang w:val="ru-RU" w:eastAsia="ar-SA" w:bidi="ar-SA"/>
    </w:rPr>
  </w:style>
  <w:style w:type="character" w:customStyle="1" w:styleId="21">
    <w:name w:val="Заголовок 2 Знак"/>
    <w:basedOn w:val="10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00">
    <w:name w:val=" Знак Знак10"/>
    <w:basedOn w:val="10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4">
    <w:name w:val=" Знак Знак4"/>
    <w:basedOn w:val="10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11">
    <w:name w:val=" Знак Знак11"/>
    <w:basedOn w:val="10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5">
    <w:name w:val=" Знак Знак5"/>
    <w:basedOn w:val="10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styleId="a6">
    <w:name w:val="Strong"/>
    <w:basedOn w:val="10"/>
    <w:qFormat/>
    <w:rPr>
      <w:b/>
      <w:bCs/>
    </w:rPr>
  </w:style>
  <w:style w:type="character" w:customStyle="1" w:styleId="highlight1">
    <w:name w:val="highlight1"/>
    <w:basedOn w:val="10"/>
    <w:rPr>
      <w:b/>
      <w:bCs/>
      <w:color w:val="FF0000"/>
    </w:rPr>
  </w:style>
  <w:style w:type="character" w:customStyle="1" w:styleId="day7">
    <w:name w:val="da y7"/>
    <w:basedOn w:val="10"/>
  </w:style>
  <w:style w:type="character" w:customStyle="1" w:styleId="annonce-sources-link">
    <w:name w:val="annonce-sources-link"/>
    <w:basedOn w:val="10"/>
  </w:style>
  <w:style w:type="character" w:customStyle="1" w:styleId="message-date-suffix">
    <w:name w:val="message-date-suffix"/>
    <w:basedOn w:val="10"/>
  </w:style>
  <w:style w:type="character" w:customStyle="1" w:styleId="13">
    <w:name w:val=" Знак Знак13"/>
    <w:basedOn w:val="10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2">
    <w:name w:val=" Знак Знак12"/>
    <w:basedOn w:val="10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docauthorn">
    <w:name w:val="docauthorn"/>
    <w:basedOn w:val="10"/>
  </w:style>
  <w:style w:type="paragraph" w:customStyle="1" w:styleId="a7">
    <w:name w:val="Заголовок"/>
    <w:basedOn w:val="a"/>
    <w:next w:val="a8"/>
    <w:pPr>
      <w:keepNext/>
      <w:spacing w:before="24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</w:style>
  <w:style w:type="paragraph" w:styleId="a9">
    <w:name w:val="List"/>
    <w:basedOn w:val="a8"/>
    <w:rPr>
      <w:rFonts w:cs="Mangal"/>
    </w:rPr>
  </w:style>
  <w:style w:type="paragraph" w:customStyle="1" w:styleId="14">
    <w:name w:val="Название1"/>
    <w:basedOn w:val="a"/>
    <w:pPr>
      <w:suppressLineNumbers/>
      <w:spacing w:before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16">
    <w:name w:val="toc 1"/>
    <w:basedOn w:val="a"/>
    <w:next w:val="a"/>
    <w:pPr>
      <w:spacing w:before="120"/>
      <w:jc w:val="left"/>
    </w:pPr>
    <w:rPr>
      <w:b/>
      <w:bCs/>
      <w:caps/>
      <w:sz w:val="20"/>
      <w:szCs w:val="20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2">
    <w:name w:val="toc 2"/>
    <w:basedOn w:val="a"/>
    <w:next w:val="a"/>
    <w:pPr>
      <w:spacing w:after="0"/>
      <w:ind w:left="240"/>
      <w:jc w:val="left"/>
    </w:pPr>
    <w:rPr>
      <w:smallCaps/>
      <w:sz w:val="20"/>
      <w:szCs w:val="20"/>
    </w:rPr>
  </w:style>
  <w:style w:type="paragraph" w:styleId="31">
    <w:name w:val="toc 3"/>
    <w:basedOn w:val="a"/>
    <w:next w:val="a"/>
    <w:pPr>
      <w:spacing w:after="0"/>
      <w:ind w:left="480"/>
      <w:jc w:val="left"/>
    </w:pPr>
    <w:rPr>
      <w:i/>
      <w:iCs/>
      <w:sz w:val="20"/>
      <w:szCs w:val="20"/>
    </w:rPr>
  </w:style>
  <w:style w:type="paragraph" w:styleId="40">
    <w:name w:val="toc 4"/>
    <w:basedOn w:val="a"/>
    <w:next w:val="a"/>
    <w:pPr>
      <w:spacing w:after="0"/>
      <w:ind w:left="720"/>
      <w:jc w:val="left"/>
    </w:pPr>
    <w:rPr>
      <w:sz w:val="18"/>
      <w:szCs w:val="18"/>
    </w:rPr>
  </w:style>
  <w:style w:type="paragraph" w:styleId="50">
    <w:name w:val="toc 5"/>
    <w:basedOn w:val="a"/>
    <w:next w:val="a"/>
    <w:pPr>
      <w:spacing w:after="0"/>
      <w:ind w:left="960"/>
      <w:jc w:val="left"/>
    </w:pPr>
    <w:rPr>
      <w:sz w:val="18"/>
      <w:szCs w:val="18"/>
    </w:rPr>
  </w:style>
  <w:style w:type="paragraph" w:styleId="6">
    <w:name w:val="toc 6"/>
    <w:basedOn w:val="a"/>
    <w:next w:val="a"/>
    <w:pPr>
      <w:spacing w:after="0"/>
      <w:ind w:left="1200"/>
      <w:jc w:val="left"/>
    </w:pPr>
    <w:rPr>
      <w:sz w:val="18"/>
      <w:szCs w:val="18"/>
    </w:rPr>
  </w:style>
  <w:style w:type="paragraph" w:styleId="7">
    <w:name w:val="toc 7"/>
    <w:basedOn w:val="a"/>
    <w:next w:val="a"/>
    <w:pPr>
      <w:spacing w:after="0"/>
      <w:ind w:left="1440"/>
      <w:jc w:val="left"/>
    </w:pPr>
    <w:rPr>
      <w:sz w:val="18"/>
      <w:szCs w:val="18"/>
    </w:rPr>
  </w:style>
  <w:style w:type="paragraph" w:styleId="80">
    <w:name w:val="toc 8"/>
    <w:basedOn w:val="a"/>
    <w:next w:val="a"/>
    <w:pPr>
      <w:spacing w:after="0"/>
      <w:ind w:left="1680"/>
      <w:jc w:val="left"/>
    </w:pPr>
    <w:rPr>
      <w:sz w:val="18"/>
      <w:szCs w:val="18"/>
    </w:rPr>
  </w:style>
  <w:style w:type="paragraph" w:styleId="90">
    <w:name w:val="toc 9"/>
    <w:basedOn w:val="a"/>
    <w:next w:val="a"/>
    <w:pPr>
      <w:spacing w:after="0"/>
      <w:ind w:left="1920"/>
      <w:jc w:val="left"/>
    </w:pPr>
    <w:rPr>
      <w:sz w:val="18"/>
      <w:szCs w:val="18"/>
    </w:rPr>
  </w:style>
  <w:style w:type="paragraph" w:customStyle="1" w:styleId="ab">
    <w:name w:val="Темы дня"/>
    <w:basedOn w:val="a"/>
    <w:pPr>
      <w:keepLines/>
      <w:spacing w:after="240"/>
    </w:pPr>
    <w:rPr>
      <w:i/>
    </w:rPr>
  </w:style>
  <w:style w:type="paragraph" w:styleId="ac">
    <w:name w:val="Normal (Web)"/>
    <w:basedOn w:val="a"/>
  </w:style>
  <w:style w:type="paragraph" w:customStyle="1" w:styleId="ad">
    <w:name w:val="Текст документа"/>
    <w:basedOn w:val="ac"/>
    <w:pPr>
      <w:spacing w:before="280" w:after="280" w:line="360" w:lineRule="auto"/>
      <w:jc w:val="left"/>
    </w:pPr>
    <w:rPr>
      <w:rFonts w:ascii="Arial" w:eastAsia="Verdana" w:hAnsi="Arial" w:cs="Arial"/>
      <w:color w:val="000000"/>
      <w:sz w:val="20"/>
      <w:szCs w:val="20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7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8">
    <w:name w:val="Цитата1"/>
    <w:basedOn w:val="ab"/>
    <w:rPr>
      <w:bCs/>
    </w:rPr>
  </w:style>
  <w:style w:type="paragraph" w:customStyle="1" w:styleId="message">
    <w:name w:val="message"/>
    <w:basedOn w:val="a"/>
    <w:pPr>
      <w:spacing w:before="280" w:after="280" w:line="360" w:lineRule="auto"/>
      <w:ind w:left="1440"/>
      <w:jc w:val="left"/>
    </w:pPr>
    <w:rPr>
      <w:rFonts w:ascii="Verdana" w:eastAsia="Verdana" w:hAnsi="Verdana" w:cs="Verdana"/>
      <w:sz w:val="20"/>
      <w:szCs w:val="20"/>
    </w:rPr>
  </w:style>
  <w:style w:type="paragraph" w:customStyle="1" w:styleId="af0">
    <w:name w:val="Содержимое врезки"/>
    <w:basedOn w:val="a8"/>
  </w:style>
  <w:style w:type="paragraph" w:customStyle="1" w:styleId="101">
    <w:name w:val="Оглавление 10"/>
    <w:basedOn w:val="15"/>
    <w:pPr>
      <w:tabs>
        <w:tab w:val="right" w:leader="dot" w:pos="7091"/>
      </w:tabs>
      <w:ind w:left="254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pfrf.ru/ot_chel/Investment_accu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frf.ru/tarif_nakop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</Words>
  <Characters>2144</Characters>
  <Application>Microsoft Office Word</Application>
  <DocSecurity>0</DocSecurity>
  <Lines>17</Lines>
  <Paragraphs>5</Paragraphs>
  <ScaleCrop>false</ScaleCrop>
  <Company>MultiDVD Team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ВЕДОМОСТИ, 20</dc:title>
  <dc:creator>user</dc:creator>
  <cp:lastModifiedBy>uilyashko</cp:lastModifiedBy>
  <cp:revision>2</cp:revision>
  <cp:lastPrinted>2009-03-31T10:23:00Z</cp:lastPrinted>
  <dcterms:created xsi:type="dcterms:W3CDTF">2013-08-01T05:50:00Z</dcterms:created>
  <dcterms:modified xsi:type="dcterms:W3CDTF">2013-08-01T05:50:00Z</dcterms:modified>
</cp:coreProperties>
</file>