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E1" w:rsidRDefault="00B75CE1" w:rsidP="00B75CE1">
      <w:pPr>
        <w:pageBreakBefore/>
        <w:tabs>
          <w:tab w:val="left" w:pos="634"/>
        </w:tabs>
        <w:spacing w:line="360" w:lineRule="auto"/>
        <w:jc w:val="center"/>
      </w:pPr>
      <w:r>
        <w:rPr>
          <w:b/>
          <w:bCs/>
        </w:rPr>
        <w:t>Взаимодействие Кадастровой палаты с органами власти влияет на определение кадастровой стоимости</w:t>
      </w:r>
    </w:p>
    <w:p w:rsidR="00B75CE1" w:rsidRDefault="00B75CE1" w:rsidP="00B75CE1">
      <w:pPr>
        <w:tabs>
          <w:tab w:val="left" w:pos="634"/>
        </w:tabs>
        <w:spacing w:line="276" w:lineRule="auto"/>
        <w:jc w:val="center"/>
        <w:rPr>
          <w:sz w:val="28"/>
          <w:szCs w:val="28"/>
        </w:rPr>
      </w:pPr>
    </w:p>
    <w:p w:rsidR="00B75CE1" w:rsidRDefault="00B75CE1" w:rsidP="00B75CE1">
      <w:pPr>
        <w:tabs>
          <w:tab w:val="left" w:pos="634"/>
        </w:tabs>
        <w:spacing w:line="276" w:lineRule="auto"/>
        <w:ind w:firstLine="737"/>
        <w:jc w:val="both"/>
      </w:pPr>
      <w:r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</w:rPr>
        <w:t xml:space="preserve">В определении кадастровой стоимости земельных участков, расположенных на территории региона, высокое значение имеет межведомственное взаимодействие филиала Федеральной кадастровой палаты </w:t>
      </w:r>
      <w:proofErr w:type="spellStart"/>
      <w:r>
        <w:rPr>
          <w:iCs/>
          <w:color w:val="000000"/>
        </w:rPr>
        <w:t>Росреестра</w:t>
      </w:r>
      <w:proofErr w:type="spellEnd"/>
      <w:r>
        <w:rPr>
          <w:iCs/>
          <w:color w:val="000000"/>
        </w:rPr>
        <w:t xml:space="preserve"> по Челябинской области и органов местного самоуправления.</w:t>
      </w:r>
    </w:p>
    <w:p w:rsidR="00B75CE1" w:rsidRDefault="00B75CE1" w:rsidP="00B75CE1">
      <w:pPr>
        <w:tabs>
          <w:tab w:val="left" w:pos="634"/>
        </w:tabs>
        <w:spacing w:line="276" w:lineRule="auto"/>
        <w:ind w:firstLine="737"/>
        <w:jc w:val="both"/>
      </w:pPr>
      <w:r>
        <w:rPr>
          <w:iCs/>
          <w:color w:val="000000"/>
        </w:rPr>
        <w:t xml:space="preserve">Напомним, что в сфере организации предоставления государственных и муниципальных услуг предусмотрен информационный обмен данными в порядке межведомственного информационного взаимодействия органов власти всех уровней и иных организаций, участвующих в оказании государственных и муниципальных услуг, без участия </w:t>
      </w:r>
      <w:proofErr w:type="spellStart"/>
      <w:r>
        <w:rPr>
          <w:iCs/>
          <w:color w:val="000000"/>
        </w:rPr>
        <w:t>заявителя</w:t>
      </w:r>
      <w:proofErr w:type="gramStart"/>
      <w:r>
        <w:rPr>
          <w:iCs/>
          <w:color w:val="000000"/>
        </w:rPr>
        <w:t>.В</w:t>
      </w:r>
      <w:proofErr w:type="spellEnd"/>
      <w:proofErr w:type="gramEnd"/>
      <w:r>
        <w:rPr>
          <w:iCs/>
          <w:color w:val="000000"/>
        </w:rPr>
        <w:t xml:space="preserve"> рамках межведомственного взаимодействия, Кадастровой палатой по Челябинской области на постоянной основе ведется работа с органами местного самоуправления, с целью установления характеристик, необходимых для определения кадастровой стоимости. </w:t>
      </w:r>
    </w:p>
    <w:p w:rsidR="00B75CE1" w:rsidRDefault="00B75CE1" w:rsidP="00B75CE1">
      <w:pPr>
        <w:tabs>
          <w:tab w:val="left" w:pos="634"/>
        </w:tabs>
        <w:spacing w:line="276" w:lineRule="auto"/>
        <w:ind w:firstLine="737"/>
        <w:jc w:val="both"/>
      </w:pPr>
      <w:proofErr w:type="gramStart"/>
      <w:r>
        <w:rPr>
          <w:iCs/>
          <w:color w:val="000000"/>
        </w:rPr>
        <w:t>В 2016 году была произведена массовая рассылка в адрес 41 муниципального образования с приложением перечней земельных участков без кадастровой стоимости на территории Челябинской  области, проведена серия совещаний по вопросам влияния межведомственного взаимодействия на определение  кадастровой стоимости с участием глав муниципальных образований региона, проведен анализ земельных участков с отсутствующими характеристиками, влияющими на определение кадастровой стоимости (вид разрешенного использования и категория земель</w:t>
      </w:r>
      <w:proofErr w:type="gramEnd"/>
      <w:r>
        <w:rPr>
          <w:iCs/>
          <w:color w:val="000000"/>
        </w:rPr>
        <w:t>) и другие мероприятия.</w:t>
      </w:r>
    </w:p>
    <w:p w:rsidR="00B75CE1" w:rsidRDefault="00B75CE1" w:rsidP="00B75CE1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540"/>
        <w:jc w:val="both"/>
      </w:pPr>
      <w:r>
        <w:t xml:space="preserve">По состоянию на декабрь 2016 года в государственном кадастре недвижимости (ГКН) содержались сведения около </w:t>
      </w:r>
      <w:r>
        <w:rPr>
          <w:b/>
          <w:bCs/>
        </w:rPr>
        <w:t xml:space="preserve">12 400 </w:t>
      </w:r>
      <w:r>
        <w:t xml:space="preserve">земельных участках без кадастровой стоимости. </w:t>
      </w:r>
      <w:r>
        <w:rPr>
          <w:iCs/>
          <w:color w:val="000000"/>
        </w:rPr>
        <w:t xml:space="preserve">В ходе проведения работ с органами местного самоуправления, в ГКН за 2016 год региональной Кадастровой палатой были внесены сведения об отсутствии кадастровой стоимости в отношении </w:t>
      </w:r>
      <w:r>
        <w:rPr>
          <w:b/>
          <w:bCs/>
          <w:iCs/>
          <w:color w:val="000000"/>
        </w:rPr>
        <w:t>2 307</w:t>
      </w:r>
      <w:r>
        <w:rPr>
          <w:iCs/>
          <w:color w:val="000000"/>
        </w:rPr>
        <w:t xml:space="preserve"> земельных участков. В отношении</w:t>
      </w:r>
      <w:r>
        <w:rPr>
          <w:b/>
          <w:bCs/>
          <w:iCs/>
          <w:color w:val="000000"/>
        </w:rPr>
        <w:t xml:space="preserve"> 1 352</w:t>
      </w:r>
      <w:r>
        <w:rPr>
          <w:iCs/>
          <w:color w:val="000000"/>
        </w:rPr>
        <w:t xml:space="preserve"> земельных участков была установлена одна из отсутствующих характеристик, необходимых для определения кадастровой стоимости.</w:t>
      </w:r>
    </w:p>
    <w:p w:rsidR="00B75CE1" w:rsidRDefault="00B75CE1" w:rsidP="00B75CE1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>Положительный результат в части установления характеристик, необходимых для определения кадастровой стоимости, а также внесения в ГКН сведений о земельных участках без кадастровой стоимости, связан с увеличением количества мероприятий, проведенных Кадастровой палатой по Челябинской области совместно с органами  местного самоуправления региона.</w:t>
      </w:r>
    </w:p>
    <w:p w:rsidR="00B75CE1" w:rsidRDefault="00B75CE1" w:rsidP="00B75CE1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540"/>
        <w:jc w:val="both"/>
        <w:rPr>
          <w:iCs/>
          <w:color w:val="000000"/>
        </w:rPr>
      </w:pPr>
    </w:p>
    <w:p w:rsidR="00B75CE1" w:rsidRDefault="00B75CE1" w:rsidP="00B75CE1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276" w:lineRule="auto"/>
        <w:ind w:firstLine="540"/>
        <w:jc w:val="both"/>
      </w:pPr>
      <w:bookmarkStart w:id="0" w:name="_GoBack"/>
      <w:bookmarkEnd w:id="0"/>
    </w:p>
    <w:p w:rsidR="00B75CE1" w:rsidRDefault="00B75CE1" w:rsidP="00B75CE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9 </w:t>
      </w:r>
    </w:p>
    <w:p w:rsidR="00B75CE1" w:rsidRDefault="00B75CE1" w:rsidP="00B75CE1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B75CE1" w:rsidRDefault="00B75CE1" w:rsidP="00B75CE1">
      <w:pPr>
        <w:spacing w:line="360" w:lineRule="auto"/>
        <w:ind w:firstLine="729"/>
        <w:jc w:val="right"/>
      </w:pPr>
      <w:proofErr w:type="spellStart"/>
      <w:r>
        <w:rPr>
          <w:b/>
          <w:bCs/>
          <w:shd w:val="clear" w:color="auto" w:fill="FFFFFF"/>
        </w:rPr>
        <w:t>Н.М.Киракосян</w:t>
      </w:r>
      <w:proofErr w:type="spellEnd"/>
    </w:p>
    <w:p w:rsidR="00AE04AE" w:rsidRDefault="00AE04AE"/>
    <w:sectPr w:rsidR="00AE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75"/>
    <w:rsid w:val="00956D75"/>
    <w:rsid w:val="00AE04AE"/>
    <w:rsid w:val="00B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2017-01-20T05:16:00Z</dcterms:created>
  <dcterms:modified xsi:type="dcterms:W3CDTF">2017-01-20T05:16:00Z</dcterms:modified>
</cp:coreProperties>
</file>