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CF" w:rsidRDefault="000F19CF" w:rsidP="000F19CF">
      <w:pPr>
        <w:jc w:val="center"/>
      </w:pPr>
      <w:r>
        <w:t>СХЕМА ТЕПЛОСНАБЖЕНИЯ</w:t>
      </w:r>
    </w:p>
    <w:p w:rsidR="000F19CF" w:rsidRDefault="000F19CF" w:rsidP="000F19CF">
      <w:pPr>
        <w:jc w:val="center"/>
      </w:pPr>
      <w:r>
        <w:t>НОВОБАТУРИНСКОГО СЕЛЬСКОГО ПОСЕЛЕНИЯ ЕТКУЛЬСКОГО МУНИЦИПАЛЬНОГО РАЙОНА</w:t>
      </w:r>
    </w:p>
    <w:p w:rsidR="000F19CF" w:rsidRDefault="000F19CF" w:rsidP="000F19CF">
      <w:pPr>
        <w:jc w:val="center"/>
      </w:pPr>
      <w:r>
        <w:t>ЧЕЛЯБИНСКОЙ ОБЛАСТИ</w:t>
      </w:r>
    </w:p>
    <w:p w:rsidR="000F19CF" w:rsidRDefault="000F19CF" w:rsidP="000F19CF">
      <w:pPr>
        <w:pStyle w:val="1"/>
        <w:jc w:val="center"/>
        <w:rPr>
          <w:color w:val="auto"/>
        </w:rPr>
      </w:pPr>
      <w:r w:rsidRPr="00770557">
        <w:rPr>
          <w:color w:val="auto"/>
        </w:rPr>
        <w:t>Общие положения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Основанием для разработки схемы теплоснабжения Новобатуринского сельского поселения Еткульского муниципального района Челябинской области является: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-Федеральный закон о 27.07.2010г. №190-ФЗ «О Теплоснабжении»;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- Постановление Правительства РФ от 22.02.2012г. №154 «О требованиях к схемам теплоснабжения, порядку их разработки и утверждения»;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- Программа комплексного развития систем коммунальной инфраструктуры муниципального образования;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- Генеральный план поселения.</w:t>
      </w:r>
    </w:p>
    <w:p w:rsidR="000F19CF" w:rsidRDefault="000F19CF" w:rsidP="000F19CF"/>
    <w:p w:rsidR="000F19CF" w:rsidRDefault="000F19CF" w:rsidP="000F19CF">
      <w:pPr>
        <w:pStyle w:val="1"/>
        <w:jc w:val="center"/>
        <w:rPr>
          <w:color w:val="auto"/>
        </w:rPr>
      </w:pPr>
      <w:r w:rsidRPr="00770557">
        <w:rPr>
          <w:color w:val="auto"/>
        </w:rPr>
        <w:t>Состав схемы теплоснабжения сельского поселения на период до 2027г.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>
        <w:tab/>
      </w:r>
      <w:r w:rsidRPr="00AB5D0B">
        <w:rPr>
          <w:rFonts w:ascii="Times New Roman" w:hAnsi="Times New Roman" w:cs="Times New Roman"/>
          <w:sz w:val="24"/>
        </w:rPr>
        <w:t>Разработанная схема теплоснабжения сельского поселения включает в себя: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1. Цели и задачи разработки схемы теплоснабжения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2. Общую характеристику сельского поселения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3. Графическую часть: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3.1.  План сельского поселения М</w:t>
      </w:r>
      <w:proofErr w:type="gramStart"/>
      <w:r w:rsidRPr="00AB5D0B">
        <w:rPr>
          <w:rFonts w:ascii="Times New Roman" w:hAnsi="Times New Roman" w:cs="Times New Roman"/>
          <w:sz w:val="24"/>
        </w:rPr>
        <w:t>1</w:t>
      </w:r>
      <w:proofErr w:type="gramEnd"/>
      <w:r w:rsidRPr="00AB5D0B">
        <w:rPr>
          <w:rFonts w:ascii="Times New Roman" w:hAnsi="Times New Roman" w:cs="Times New Roman"/>
          <w:sz w:val="24"/>
        </w:rPr>
        <w:t>:4000 с указанием тепловых нагрузок и нанесением источников тепловой энергии с магистральными тепловыми сетями по существующему состоянию (приложение 1)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3.2. Перечень присоединенных объектов (приложение 2)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4. Существующее положение в сфере производства, передачи и потребления тепловой энергии для целей п. Новобатурино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 xml:space="preserve">4.1. Информация о </w:t>
      </w:r>
      <w:proofErr w:type="spellStart"/>
      <w:r w:rsidRPr="00AB5D0B">
        <w:rPr>
          <w:rFonts w:ascii="Times New Roman" w:hAnsi="Times New Roman" w:cs="Times New Roman"/>
          <w:sz w:val="24"/>
        </w:rPr>
        <w:t>ресурсоснабжающей</w:t>
      </w:r>
      <w:proofErr w:type="spellEnd"/>
      <w:r w:rsidRPr="00AB5D0B">
        <w:rPr>
          <w:rFonts w:ascii="Times New Roman" w:hAnsi="Times New Roman" w:cs="Times New Roman"/>
          <w:sz w:val="24"/>
        </w:rPr>
        <w:t xml:space="preserve"> организации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4.2. Структуру и параметры тепловых сетей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5.  Процедуры диагностики состояния тепловых сетей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6. Предложения реконструкции и технического перевооружения источников тепловой энергии и тепловых сетей</w:t>
      </w:r>
    </w:p>
    <w:p w:rsidR="000F19CF" w:rsidRPr="00AB5D0B" w:rsidRDefault="000F19CF" w:rsidP="000F19CF">
      <w:pPr>
        <w:spacing w:line="240" w:lineRule="auto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7. Перспективное потребление тепловой мощности и тепловой энергии на цели теплоснабжения в административных границах поселения.</w:t>
      </w:r>
    </w:p>
    <w:p w:rsidR="000F19CF" w:rsidRDefault="000F19CF" w:rsidP="000F19CF">
      <w:pPr>
        <w:pStyle w:val="1"/>
        <w:spacing w:line="240" w:lineRule="auto"/>
        <w:jc w:val="center"/>
        <w:rPr>
          <w:color w:val="auto"/>
        </w:rPr>
      </w:pPr>
      <w:r>
        <w:rPr>
          <w:color w:val="auto"/>
        </w:rPr>
        <w:lastRenderedPageBreak/>
        <w:t>1</w:t>
      </w:r>
      <w:r w:rsidRPr="00770557">
        <w:rPr>
          <w:color w:val="auto"/>
        </w:rPr>
        <w:t xml:space="preserve">. </w:t>
      </w:r>
      <w:r>
        <w:rPr>
          <w:color w:val="auto"/>
        </w:rPr>
        <w:t>Цели и задачи разработки схемы теплоснабжения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AB5D0B">
        <w:rPr>
          <w:rFonts w:ascii="Times New Roman" w:hAnsi="Times New Roman" w:cs="Times New Roman"/>
        </w:rPr>
        <w:t xml:space="preserve">Схема теплоснабжения поселения разрабатывается в целях удовлетворения спроса на </w:t>
      </w:r>
      <w:r w:rsidRPr="00AB5D0B">
        <w:rPr>
          <w:rFonts w:ascii="Times New Roman" w:hAnsi="Times New Roman" w:cs="Times New Roman"/>
          <w:sz w:val="24"/>
        </w:rPr>
        <w:t xml:space="preserve">тепловую энергию, обеспечения надежного теплоснабжения наиболее экономичным способом, пари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Схема теплоснабжения сельского поселения представляет собой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Основными задачами при разработке схемы теплоснабжения сельского поселения на период до 2027т г. являются: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1. Обследование системы теплоснабжения и анализ существующей ситуации в теплоснабжении сельского поселения.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2. 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3. Выбор оптимального варианта развития теплоснабжения и основные рекомендации по развитию системы теплоснабжения сельского поселения до 2027г.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Теплоснабжающая организация определяется схемой теплоснабжения.</w:t>
      </w:r>
    </w:p>
    <w:p w:rsidR="000F19CF" w:rsidRPr="00AB5D0B" w:rsidRDefault="000F19CF" w:rsidP="000F19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 xml:space="preserve">Мероприятия по развитию системы теплоснабжения, предусмотренные настоящей схемой, включаются в </w:t>
      </w:r>
      <w:r w:rsidRPr="00AB5D0B">
        <w:rPr>
          <w:rFonts w:ascii="Times New Roman" w:hAnsi="Times New Roman" w:cs="Times New Roman"/>
          <w:sz w:val="24"/>
          <w:u w:val="single"/>
        </w:rPr>
        <w:t>инвестиционную программу</w:t>
      </w:r>
      <w:r w:rsidRPr="00AB5D0B">
        <w:rPr>
          <w:rFonts w:ascii="Times New Roman" w:hAnsi="Times New Roman" w:cs="Times New Roman"/>
          <w:sz w:val="24"/>
        </w:rPr>
        <w:t xml:space="preserve"> теплоснабжающей организации и, как следствие, могут быть включены в соответствующий  </w:t>
      </w:r>
      <w:r w:rsidRPr="00AB5D0B">
        <w:rPr>
          <w:rFonts w:ascii="Times New Roman" w:hAnsi="Times New Roman" w:cs="Times New Roman"/>
          <w:sz w:val="24"/>
          <w:u w:val="single"/>
        </w:rPr>
        <w:t>тариф</w:t>
      </w:r>
      <w:r w:rsidRPr="00AB5D0B">
        <w:rPr>
          <w:rFonts w:ascii="Times New Roman" w:hAnsi="Times New Roman" w:cs="Times New Roman"/>
          <w:sz w:val="24"/>
        </w:rPr>
        <w:t xml:space="preserve"> организации коммунального комплекса.</w:t>
      </w:r>
    </w:p>
    <w:p w:rsidR="000F19CF" w:rsidRDefault="000F19CF" w:rsidP="000F19CF">
      <w:pPr>
        <w:pStyle w:val="1"/>
        <w:spacing w:line="240" w:lineRule="auto"/>
        <w:jc w:val="center"/>
        <w:rPr>
          <w:color w:val="auto"/>
        </w:rPr>
      </w:pPr>
      <w:r>
        <w:rPr>
          <w:color w:val="auto"/>
        </w:rPr>
        <w:t>2</w:t>
      </w:r>
      <w:r w:rsidRPr="00770557">
        <w:rPr>
          <w:color w:val="auto"/>
        </w:rPr>
        <w:t xml:space="preserve">. </w:t>
      </w:r>
      <w:r>
        <w:rPr>
          <w:color w:val="auto"/>
        </w:rPr>
        <w:t>Общая характеристика сельского поселения</w:t>
      </w:r>
    </w:p>
    <w:p w:rsidR="005427E3" w:rsidRDefault="000F19CF" w:rsidP="005427E3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0"/>
          <w:szCs w:val="20"/>
        </w:rPr>
      </w:pPr>
      <w:r>
        <w:tab/>
      </w:r>
      <w:proofErr w:type="spellStart"/>
      <w:r w:rsidRPr="00AB5D0B">
        <w:rPr>
          <w:rFonts w:ascii="Times New Roman" w:hAnsi="Times New Roman" w:cs="Times New Roman"/>
          <w:sz w:val="24"/>
        </w:rPr>
        <w:t>Новобатурино-поселок</w:t>
      </w:r>
      <w:proofErr w:type="spellEnd"/>
      <w:r w:rsidRPr="00AB5D0B">
        <w:rPr>
          <w:rFonts w:ascii="Times New Roman" w:hAnsi="Times New Roman" w:cs="Times New Roman"/>
          <w:sz w:val="24"/>
        </w:rPr>
        <w:t>. Это центр и единственный населенный пункт сельского совета Новобатуринского сельского поселения Еткульского района</w:t>
      </w:r>
      <w:r w:rsidRPr="00706C26">
        <w:rPr>
          <w:rFonts w:ascii="Times New Roman" w:hAnsi="Times New Roman" w:cs="Times New Roman"/>
          <w:sz w:val="24"/>
        </w:rPr>
        <w:t xml:space="preserve">. Площадь Новобатуринского сельского поселения составляет 23,68 кв. км. </w:t>
      </w:r>
      <w:r w:rsidRPr="00AB5D0B">
        <w:rPr>
          <w:rFonts w:ascii="Times New Roman" w:hAnsi="Times New Roman" w:cs="Times New Roman"/>
          <w:sz w:val="24"/>
        </w:rPr>
        <w:t xml:space="preserve">Расположено Новобатурино в северо-западной части района у границы с территорией города Коркино и Сосновского района. </w:t>
      </w:r>
      <w:r w:rsidRPr="00706C26">
        <w:rPr>
          <w:rFonts w:ascii="Times New Roman" w:hAnsi="Times New Roman" w:cs="Times New Roman"/>
          <w:sz w:val="24"/>
        </w:rPr>
        <w:t>Численность населения 725 человек,</w:t>
      </w:r>
      <w:r w:rsidRPr="00380A06">
        <w:rPr>
          <w:rFonts w:ascii="Times New Roman" w:hAnsi="Times New Roman" w:cs="Times New Roman"/>
          <w:color w:val="FF0000"/>
          <w:sz w:val="24"/>
        </w:rPr>
        <w:t xml:space="preserve"> </w:t>
      </w:r>
      <w:r w:rsidRPr="00AB5D0B">
        <w:rPr>
          <w:rFonts w:ascii="Times New Roman" w:hAnsi="Times New Roman" w:cs="Times New Roman"/>
          <w:sz w:val="24"/>
        </w:rPr>
        <w:t xml:space="preserve">в состав сельского поселения входит один населенный пункт </w:t>
      </w:r>
      <w:proofErr w:type="gramStart"/>
      <w:r w:rsidRPr="00AB5D0B">
        <w:rPr>
          <w:rFonts w:ascii="Times New Roman" w:hAnsi="Times New Roman" w:cs="Times New Roman"/>
          <w:sz w:val="24"/>
        </w:rPr>
        <w:t>–п</w:t>
      </w:r>
      <w:proofErr w:type="gramEnd"/>
      <w:r w:rsidRPr="00AB5D0B">
        <w:rPr>
          <w:rFonts w:ascii="Times New Roman" w:hAnsi="Times New Roman" w:cs="Times New Roman"/>
          <w:sz w:val="24"/>
        </w:rPr>
        <w:t xml:space="preserve">. Новобатурино. По климатическому районированию, территория Новобатуринского сельского поселения относится к району с умеренно континентальным климатом, с теплым летом и умеренной зимой. Самым теплым месяцем является июль, средняя температура которого колеблется в пределах 16,9 </w:t>
      </w:r>
      <w:r w:rsidRPr="00AB5D0B">
        <w:rPr>
          <w:rFonts w:ascii="Cambria Math" w:hAnsi="Cambria Math" w:cs="Cambria Math"/>
          <w:sz w:val="24"/>
        </w:rPr>
        <w:t>⁰</w:t>
      </w:r>
      <w:r w:rsidRPr="00AB5D0B">
        <w:rPr>
          <w:rFonts w:ascii="Times New Roman" w:hAnsi="Times New Roman" w:cs="Times New Roman"/>
          <w:sz w:val="24"/>
        </w:rPr>
        <w:t>-18</w:t>
      </w:r>
      <w:r w:rsidRPr="00AB5D0B">
        <w:rPr>
          <w:rFonts w:ascii="Cambria Math" w:hAnsi="Cambria Math" w:cs="Cambria Math"/>
          <w:sz w:val="24"/>
        </w:rPr>
        <w:t>⁰</w:t>
      </w:r>
      <w:r w:rsidRPr="00AB5D0B">
        <w:rPr>
          <w:rFonts w:ascii="Times New Roman" w:hAnsi="Times New Roman" w:cs="Times New Roman"/>
          <w:sz w:val="24"/>
        </w:rPr>
        <w:t>С. Средняя многолетняя температура зимы (январь) составляет (-)16</w:t>
      </w:r>
      <w:r w:rsidRPr="00AB5D0B">
        <w:rPr>
          <w:rFonts w:ascii="Cambria Math" w:hAnsi="Cambria Math" w:cs="Cambria Math"/>
          <w:sz w:val="24"/>
        </w:rPr>
        <w:t>⁰</w:t>
      </w:r>
      <w:r w:rsidRPr="00AB5D0B">
        <w:rPr>
          <w:rFonts w:ascii="Times New Roman" w:hAnsi="Times New Roman" w:cs="Times New Roman"/>
          <w:sz w:val="24"/>
        </w:rPr>
        <w:t xml:space="preserve">С. Продолжительность отопительного периода составляет </w:t>
      </w:r>
      <w:r w:rsidRPr="00706C26">
        <w:rPr>
          <w:rFonts w:ascii="Times New Roman" w:hAnsi="Times New Roman" w:cs="Times New Roman"/>
          <w:sz w:val="24"/>
        </w:rPr>
        <w:t>218</w:t>
      </w:r>
      <w:r w:rsidRPr="00AB5D0B">
        <w:rPr>
          <w:rFonts w:ascii="Times New Roman" w:hAnsi="Times New Roman" w:cs="Times New Roman"/>
          <w:sz w:val="24"/>
        </w:rPr>
        <w:t xml:space="preserve"> дней.</w:t>
      </w:r>
      <w:r w:rsidR="005427E3" w:rsidRPr="005427E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427E3" w:rsidRPr="005427E3" w:rsidRDefault="005427E3" w:rsidP="005427E3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427E3">
        <w:rPr>
          <w:rFonts w:ascii="Times New Roman" w:hAnsi="Times New Roman" w:cs="Times New Roman"/>
          <w:color w:val="000000"/>
          <w:sz w:val="24"/>
          <w:szCs w:val="24"/>
        </w:rPr>
        <w:t>Общая площадь жилищного фонда 16,1 тыс. м 2, в т</w:t>
      </w:r>
      <w:proofErr w:type="gramStart"/>
      <w:r w:rsidRPr="005427E3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5427E3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благоустроенного, с централизованным отоплением и водоснабжением 14,7 тыс. м2.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</w:r>
    </w:p>
    <w:p w:rsidR="000F19CF" w:rsidRDefault="000F19CF" w:rsidP="000F19CF">
      <w:pPr>
        <w:pStyle w:val="1"/>
        <w:spacing w:line="240" w:lineRule="auto"/>
        <w:jc w:val="center"/>
        <w:rPr>
          <w:color w:val="auto"/>
        </w:rPr>
      </w:pPr>
      <w:r>
        <w:rPr>
          <w:color w:val="auto"/>
        </w:rPr>
        <w:lastRenderedPageBreak/>
        <w:t>3</w:t>
      </w:r>
      <w:r w:rsidRPr="00770557">
        <w:rPr>
          <w:color w:val="auto"/>
        </w:rPr>
        <w:t xml:space="preserve">. </w:t>
      </w:r>
      <w:r>
        <w:rPr>
          <w:color w:val="auto"/>
        </w:rPr>
        <w:t>Графическая часть схемы теплоснабжения</w:t>
      </w:r>
      <w:r w:rsidR="005427E3">
        <w:rPr>
          <w:color w:val="auto"/>
        </w:rPr>
        <w:t>.</w:t>
      </w:r>
      <w:r w:rsidR="00706C26">
        <w:rPr>
          <w:color w:val="auto"/>
        </w:rPr>
        <w:t xml:space="preserve"> </w:t>
      </w:r>
      <w:r w:rsidR="005427E3">
        <w:rPr>
          <w:color w:val="auto"/>
        </w:rPr>
        <w:t>План сельского поселения с указанием тепловых нагрузок и нанесение источников тепловой энергии с магистральными тепловыми сетями по существующему состоянию</w:t>
      </w:r>
      <w:r>
        <w:rPr>
          <w:color w:val="auto"/>
        </w:rPr>
        <w:t xml:space="preserve"> (приложение 1-2)</w:t>
      </w:r>
      <w:r w:rsidR="005427E3">
        <w:rPr>
          <w:color w:val="auto"/>
        </w:rPr>
        <w:t>.</w:t>
      </w:r>
    </w:p>
    <w:p w:rsidR="000F19CF" w:rsidRDefault="000F19CF" w:rsidP="000F19CF">
      <w:pPr>
        <w:pStyle w:val="1"/>
        <w:spacing w:line="240" w:lineRule="auto"/>
        <w:jc w:val="center"/>
        <w:rPr>
          <w:color w:val="auto"/>
        </w:rPr>
      </w:pPr>
      <w:r w:rsidRPr="006F66D7">
        <w:rPr>
          <w:color w:val="auto"/>
        </w:rPr>
        <w:t>4. Существующее положение в сфере производства, передачи и потребления тепловой энергии для целей теплоснабжения</w:t>
      </w:r>
      <w:proofErr w:type="gramStart"/>
      <w:r w:rsidRPr="006F66D7">
        <w:rPr>
          <w:color w:val="auto"/>
        </w:rPr>
        <w:t xml:space="preserve"> .</w:t>
      </w:r>
      <w:proofErr w:type="gramEnd"/>
      <w:r w:rsidRPr="006F66D7">
        <w:rPr>
          <w:color w:val="auto"/>
        </w:rPr>
        <w:t xml:space="preserve"> Новобатурино</w:t>
      </w:r>
    </w:p>
    <w:p w:rsidR="005427E3" w:rsidRPr="00052358" w:rsidRDefault="005427E3" w:rsidP="005427E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2358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52358">
        <w:rPr>
          <w:rFonts w:ascii="Times New Roman" w:hAnsi="Times New Roman"/>
          <w:sz w:val="24"/>
          <w:szCs w:val="24"/>
        </w:rPr>
        <w:t xml:space="preserve"> организацией п. Новобатурино является ООО «</w:t>
      </w:r>
      <w:proofErr w:type="spellStart"/>
      <w:r w:rsidRPr="00052358">
        <w:rPr>
          <w:rFonts w:ascii="Times New Roman" w:hAnsi="Times New Roman"/>
          <w:sz w:val="24"/>
          <w:szCs w:val="24"/>
        </w:rPr>
        <w:t>Теплоэнергосистемы</w:t>
      </w:r>
      <w:proofErr w:type="spellEnd"/>
      <w:r w:rsidRPr="00052358">
        <w:rPr>
          <w:rFonts w:ascii="Times New Roman" w:hAnsi="Times New Roman"/>
          <w:sz w:val="24"/>
          <w:szCs w:val="24"/>
        </w:rPr>
        <w:t xml:space="preserve">». На территории находится блочная автоматизированная котельная, работающая на природном газе. Предписаний надзорных органов по запрещению эксплуатации тепловых сетей у организации нет. </w:t>
      </w:r>
    </w:p>
    <w:p w:rsidR="005427E3" w:rsidRPr="00052358" w:rsidRDefault="005427E3" w:rsidP="005427E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52358">
        <w:rPr>
          <w:rFonts w:ascii="Times New Roman" w:hAnsi="Times New Roman"/>
          <w:sz w:val="24"/>
          <w:szCs w:val="24"/>
        </w:rPr>
        <w:t>Структура и параметры тепловой сети от котельной – двухтрубная, закрытая</w:t>
      </w:r>
      <w:r>
        <w:rPr>
          <w:rFonts w:ascii="Times New Roman" w:hAnsi="Times New Roman"/>
          <w:sz w:val="24"/>
          <w:szCs w:val="24"/>
        </w:rPr>
        <w:t xml:space="preserve">, без ЦТП не содержащих подготовительных установок горячего водоснабжения (ГВС). Присоединенная нагрузка 2,4 Гкал/час, </w:t>
      </w:r>
      <w:r w:rsidRPr="00052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максимальная возможная нагрузка на сеть 2,6 Гкал/час. К тепловой сети присоединено 14 </w:t>
      </w:r>
      <w:proofErr w:type="gramStart"/>
      <w:r>
        <w:rPr>
          <w:rFonts w:ascii="Times New Roman" w:hAnsi="Times New Roman"/>
          <w:sz w:val="24"/>
          <w:szCs w:val="24"/>
        </w:rPr>
        <w:t>абонентских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ввода.</w:t>
      </w:r>
    </w:p>
    <w:p w:rsidR="005427E3" w:rsidRPr="005427E3" w:rsidRDefault="005427E3" w:rsidP="005427E3">
      <w:pPr>
        <w:rPr>
          <w:lang w:eastAsia="en-US"/>
        </w:rPr>
      </w:pPr>
    </w:p>
    <w:p w:rsidR="000F19CF" w:rsidRDefault="000F19CF" w:rsidP="000F19CF">
      <w:pPr>
        <w:pStyle w:val="1"/>
        <w:jc w:val="center"/>
        <w:rPr>
          <w:color w:val="auto"/>
        </w:rPr>
      </w:pPr>
      <w:r w:rsidRPr="005B443D">
        <w:rPr>
          <w:color w:val="auto"/>
        </w:rPr>
        <w:t xml:space="preserve">4.1. Информация о </w:t>
      </w:r>
      <w:proofErr w:type="spellStart"/>
      <w:r w:rsidRPr="005B443D">
        <w:rPr>
          <w:color w:val="auto"/>
        </w:rPr>
        <w:t>ресурсоснабжающей</w:t>
      </w:r>
      <w:proofErr w:type="spellEnd"/>
      <w:r w:rsidRPr="005B443D">
        <w:rPr>
          <w:color w:val="auto"/>
        </w:rPr>
        <w:t xml:space="preserve"> организации.</w:t>
      </w:r>
    </w:p>
    <w:p w:rsidR="000F19CF" w:rsidRPr="00AB5D0B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  <w:rPr>
          <w:sz w:val="24"/>
        </w:rPr>
      </w:pPr>
      <w:r w:rsidRPr="00AB5D0B">
        <w:rPr>
          <w:sz w:val="24"/>
        </w:rPr>
        <w:t xml:space="preserve">На территории Новобатуринского сельского поселения находится одна котельная. </w:t>
      </w:r>
      <w:proofErr w:type="spellStart"/>
      <w:r w:rsidRPr="00AB5D0B">
        <w:rPr>
          <w:sz w:val="24"/>
        </w:rPr>
        <w:t>Ресурсоснабжающее</w:t>
      </w:r>
      <w:proofErr w:type="spellEnd"/>
      <w:r w:rsidRPr="00AB5D0B">
        <w:rPr>
          <w:sz w:val="24"/>
        </w:rPr>
        <w:t xml:space="preserve"> предприятие  ОАО «</w:t>
      </w:r>
      <w:proofErr w:type="spellStart"/>
      <w:r w:rsidRPr="00AB5D0B">
        <w:rPr>
          <w:sz w:val="24"/>
        </w:rPr>
        <w:t>Челябкоммунэнерго</w:t>
      </w:r>
      <w:proofErr w:type="spellEnd"/>
      <w:r w:rsidRPr="00AB5D0B">
        <w:rPr>
          <w:sz w:val="24"/>
        </w:rPr>
        <w:t>» осуществляет теплоснабжение объектов жилого фонда, социально-культурные объекты и прочих потребителей тепловой энергии от арендуемой котельной, находящихся в муниципальной собственности Новобатуринского сельского поселения. Договор аренды №10 от 01.09.2014г. заключен на основании проведенного конкурса сроком на 5 лет.</w:t>
      </w:r>
    </w:p>
    <w:p w:rsidR="000F19CF" w:rsidRPr="00AB5D0B" w:rsidRDefault="000F19CF" w:rsidP="000F19CF">
      <w:pPr>
        <w:pStyle w:val="3"/>
        <w:shd w:val="clear" w:color="auto" w:fill="auto"/>
        <w:spacing w:line="413" w:lineRule="exact"/>
        <w:ind w:left="20" w:firstLine="600"/>
        <w:jc w:val="both"/>
        <w:rPr>
          <w:sz w:val="24"/>
        </w:rPr>
      </w:pPr>
      <w:r w:rsidRPr="00AB5D0B">
        <w:rPr>
          <w:sz w:val="24"/>
        </w:rPr>
        <w:t xml:space="preserve">Котельная работает на природном газе. </w:t>
      </w:r>
    </w:p>
    <w:p w:rsidR="000F19CF" w:rsidRPr="00AB5D0B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  <w:rPr>
          <w:sz w:val="24"/>
        </w:rPr>
      </w:pPr>
      <w:r w:rsidRPr="00AB5D0B">
        <w:rPr>
          <w:sz w:val="24"/>
        </w:rPr>
        <w:t>Установленная мощность котельной  составляет 2,6 Гкал/час.</w:t>
      </w:r>
    </w:p>
    <w:p w:rsidR="000F19CF" w:rsidRPr="00AB5D0B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  <w:rPr>
          <w:sz w:val="24"/>
        </w:rPr>
      </w:pPr>
      <w:r w:rsidRPr="00AB5D0B">
        <w:rPr>
          <w:sz w:val="24"/>
        </w:rPr>
        <w:t>Присоединенная тепловая нагрузка составляет 2,2 Гкал/час.</w:t>
      </w:r>
    </w:p>
    <w:p w:rsidR="000F19CF" w:rsidRPr="00AB5D0B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  <w:rPr>
          <w:sz w:val="24"/>
        </w:rPr>
      </w:pPr>
      <w:r w:rsidRPr="00AB5D0B">
        <w:rPr>
          <w:sz w:val="24"/>
        </w:rPr>
        <w:t>По отчётным данным ОАО «</w:t>
      </w:r>
      <w:proofErr w:type="spellStart"/>
      <w:r w:rsidRPr="00AB5D0B">
        <w:rPr>
          <w:sz w:val="24"/>
        </w:rPr>
        <w:t>Челябкоммунэнерго</w:t>
      </w:r>
      <w:proofErr w:type="spellEnd"/>
      <w:r w:rsidRPr="00AB5D0B">
        <w:rPr>
          <w:sz w:val="24"/>
        </w:rPr>
        <w:t>» полезный отпуск тепловой энергии потребителям  на отопительный период 2015-2016гг. составляет 4 032,39  Гкал в том числе:</w:t>
      </w:r>
    </w:p>
    <w:p w:rsidR="000F19CF" w:rsidRPr="00AB5D0B" w:rsidRDefault="000F19CF" w:rsidP="000F19CF">
      <w:pPr>
        <w:pStyle w:val="3"/>
        <w:numPr>
          <w:ilvl w:val="0"/>
          <w:numId w:val="1"/>
        </w:numPr>
        <w:shd w:val="clear" w:color="auto" w:fill="auto"/>
        <w:tabs>
          <w:tab w:val="left" w:pos="158"/>
        </w:tabs>
        <w:spacing w:line="413" w:lineRule="exact"/>
        <w:ind w:left="20" w:firstLine="0"/>
        <w:jc w:val="both"/>
        <w:rPr>
          <w:sz w:val="24"/>
        </w:rPr>
      </w:pPr>
      <w:r w:rsidRPr="00AB5D0B">
        <w:rPr>
          <w:sz w:val="24"/>
        </w:rPr>
        <w:t>жилищного фонда -  2 939,39 Гкал (72,9%);</w:t>
      </w:r>
    </w:p>
    <w:p w:rsidR="000F19CF" w:rsidRPr="00AB5D0B" w:rsidRDefault="000F19CF" w:rsidP="000F19CF">
      <w:pPr>
        <w:pStyle w:val="3"/>
        <w:numPr>
          <w:ilvl w:val="0"/>
          <w:numId w:val="1"/>
        </w:numPr>
        <w:shd w:val="clear" w:color="auto" w:fill="auto"/>
        <w:tabs>
          <w:tab w:val="left" w:pos="158"/>
        </w:tabs>
        <w:spacing w:line="413" w:lineRule="exact"/>
        <w:ind w:left="20" w:firstLine="0"/>
        <w:jc w:val="both"/>
        <w:rPr>
          <w:sz w:val="24"/>
        </w:rPr>
      </w:pPr>
      <w:r w:rsidRPr="00AB5D0B">
        <w:rPr>
          <w:sz w:val="24"/>
        </w:rPr>
        <w:t>объектов бюджетной сферы – 882,41 Гкал (21,9%);</w:t>
      </w:r>
    </w:p>
    <w:p w:rsidR="000F19CF" w:rsidRPr="00AB5D0B" w:rsidRDefault="000F19CF" w:rsidP="000F19CF">
      <w:pPr>
        <w:pStyle w:val="3"/>
        <w:numPr>
          <w:ilvl w:val="0"/>
          <w:numId w:val="1"/>
        </w:numPr>
        <w:shd w:val="clear" w:color="auto" w:fill="auto"/>
        <w:tabs>
          <w:tab w:val="left" w:pos="158"/>
        </w:tabs>
        <w:spacing w:line="413" w:lineRule="exact"/>
        <w:ind w:left="20" w:firstLine="0"/>
        <w:jc w:val="both"/>
        <w:rPr>
          <w:sz w:val="24"/>
        </w:rPr>
      </w:pPr>
      <w:r w:rsidRPr="00AB5D0B">
        <w:rPr>
          <w:sz w:val="24"/>
        </w:rPr>
        <w:t>прочих потребителей – 210,59 Гкал (5,2%).</w:t>
      </w:r>
    </w:p>
    <w:p w:rsidR="000F19CF" w:rsidRPr="00AB5D0B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  <w:rPr>
          <w:sz w:val="24"/>
        </w:rPr>
      </w:pPr>
      <w:r w:rsidRPr="00AB5D0B">
        <w:rPr>
          <w:sz w:val="24"/>
        </w:rPr>
        <w:t>Диаграмма отпуска тепловой энергии на рисунке отражает количество и соотношение отпуска тепловой энергии потребителям, присоединенным к котельной, обслуживаемой ОАО «</w:t>
      </w:r>
      <w:proofErr w:type="spellStart"/>
      <w:r w:rsidRPr="00AB5D0B">
        <w:rPr>
          <w:sz w:val="24"/>
        </w:rPr>
        <w:t>Челябкоммунэнерго</w:t>
      </w:r>
      <w:proofErr w:type="spellEnd"/>
      <w:r w:rsidRPr="00AB5D0B">
        <w:rPr>
          <w:sz w:val="24"/>
        </w:rPr>
        <w:t>».</w:t>
      </w:r>
    </w:p>
    <w:p w:rsidR="000F19CF" w:rsidRPr="00AB5D0B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  <w:rPr>
          <w:sz w:val="24"/>
        </w:rPr>
      </w:pPr>
      <w:r w:rsidRPr="00AB5D0B">
        <w:rPr>
          <w:sz w:val="24"/>
        </w:rPr>
        <w:t xml:space="preserve">Рисунок 1. Полезный отпуск тепловой энергии потребителям от котельной ОАО </w:t>
      </w:r>
      <w:r w:rsidRPr="00AB5D0B">
        <w:rPr>
          <w:sz w:val="24"/>
        </w:rPr>
        <w:lastRenderedPageBreak/>
        <w:t>«</w:t>
      </w:r>
      <w:proofErr w:type="spellStart"/>
      <w:r w:rsidRPr="00AB5D0B">
        <w:rPr>
          <w:sz w:val="24"/>
        </w:rPr>
        <w:t>Челябкоммунэнерго</w:t>
      </w:r>
      <w:proofErr w:type="spellEnd"/>
      <w:r w:rsidRPr="00AB5D0B">
        <w:rPr>
          <w:sz w:val="24"/>
        </w:rPr>
        <w:t>»</w:t>
      </w: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115570</wp:posOffset>
            </wp:positionV>
            <wp:extent cx="4562475" cy="2400300"/>
            <wp:effectExtent l="0" t="0" r="9525" b="1905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</w:p>
    <w:p w:rsidR="000F19CF" w:rsidRDefault="000F19CF" w:rsidP="000F19CF">
      <w:pPr>
        <w:pStyle w:val="3"/>
        <w:shd w:val="clear" w:color="auto" w:fill="auto"/>
        <w:spacing w:line="413" w:lineRule="exact"/>
        <w:ind w:left="20" w:right="20" w:firstLine="600"/>
        <w:jc w:val="both"/>
      </w:pPr>
    </w:p>
    <w:p w:rsidR="005427E3" w:rsidRDefault="000F19CF" w:rsidP="000F19CF">
      <w:pPr>
        <w:pStyle w:val="1"/>
        <w:jc w:val="center"/>
      </w:pPr>
      <w:r>
        <w:tab/>
      </w:r>
    </w:p>
    <w:p w:rsidR="000F19CF" w:rsidRDefault="000F19CF" w:rsidP="000F19CF">
      <w:pPr>
        <w:pStyle w:val="1"/>
        <w:jc w:val="center"/>
        <w:rPr>
          <w:color w:val="auto"/>
        </w:rPr>
      </w:pPr>
      <w:r>
        <w:rPr>
          <w:color w:val="auto"/>
        </w:rPr>
        <w:t>4.2</w:t>
      </w:r>
      <w:r w:rsidRPr="005B443D">
        <w:rPr>
          <w:color w:val="auto"/>
        </w:rPr>
        <w:t xml:space="preserve">. </w:t>
      </w:r>
      <w:r>
        <w:rPr>
          <w:color w:val="auto"/>
        </w:rPr>
        <w:t>Структура и параметры тепловых сетей</w:t>
      </w:r>
      <w:r w:rsidRPr="005B443D">
        <w:rPr>
          <w:color w:val="auto"/>
        </w:rPr>
        <w:t>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>
        <w:tab/>
      </w:r>
      <w:r w:rsidRPr="00AB5D0B">
        <w:rPr>
          <w:rFonts w:ascii="Times New Roman" w:hAnsi="Times New Roman" w:cs="Times New Roman"/>
          <w:sz w:val="24"/>
        </w:rPr>
        <w:t>На территории Новобатуринского сельского поселения теплоснабжение потребителей от котельной, арендуемой ОАО «</w:t>
      </w:r>
      <w:proofErr w:type="spellStart"/>
      <w:r w:rsidRPr="00AB5D0B">
        <w:rPr>
          <w:rFonts w:ascii="Times New Roman" w:hAnsi="Times New Roman" w:cs="Times New Roman"/>
          <w:sz w:val="24"/>
        </w:rPr>
        <w:t>Челябкоммунэнерго</w:t>
      </w:r>
      <w:proofErr w:type="spellEnd"/>
      <w:r w:rsidRPr="00AB5D0B">
        <w:rPr>
          <w:rFonts w:ascii="Times New Roman" w:hAnsi="Times New Roman" w:cs="Times New Roman"/>
          <w:sz w:val="24"/>
        </w:rPr>
        <w:t>» осуществляется по тепловым сетям являющихся муниципальной собственностью сельского поселения. Система теплоснабжения двухтрубная, закрытая без централизованного теплового пункта (ЦТП), не содержащая подготовительных установок горячего водоснабжения (ГВС).</w:t>
      </w:r>
    </w:p>
    <w:p w:rsidR="000F19CF" w:rsidRPr="009A36B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 xml:space="preserve">Протяженность тепловой сети от котельной п. Новобатурино до конечных потребителей тепловой энергии составляет  1  736,33 м. Количество тепловых колодцев составляет </w:t>
      </w:r>
      <w:r>
        <w:rPr>
          <w:rFonts w:ascii="Times New Roman" w:hAnsi="Times New Roman" w:cs="Times New Roman"/>
          <w:sz w:val="24"/>
        </w:rPr>
        <w:t>1</w:t>
      </w:r>
      <w:r w:rsidRPr="00AB5D0B">
        <w:rPr>
          <w:rFonts w:ascii="Times New Roman" w:hAnsi="Times New Roman" w:cs="Times New Roman"/>
          <w:color w:val="FF0000"/>
          <w:sz w:val="24"/>
        </w:rPr>
        <w:t xml:space="preserve"> </w:t>
      </w:r>
      <w:r w:rsidRPr="00AB5D0B">
        <w:rPr>
          <w:rFonts w:ascii="Times New Roman" w:hAnsi="Times New Roman" w:cs="Times New Roman"/>
          <w:sz w:val="24"/>
        </w:rPr>
        <w:t>шт</w:t>
      </w:r>
      <w:r>
        <w:rPr>
          <w:rFonts w:ascii="Times New Roman" w:hAnsi="Times New Roman" w:cs="Times New Roman"/>
          <w:sz w:val="24"/>
        </w:rPr>
        <w:t>. количество воздушных узлов - 20 шт</w:t>
      </w:r>
      <w:r w:rsidRPr="00AB5D0B">
        <w:rPr>
          <w:rFonts w:ascii="Times New Roman" w:hAnsi="Times New Roman" w:cs="Times New Roman"/>
          <w:sz w:val="24"/>
        </w:rPr>
        <w:t xml:space="preserve">.  К тепловой сети присоединено </w:t>
      </w:r>
      <w:r>
        <w:rPr>
          <w:rFonts w:ascii="Times New Roman" w:hAnsi="Times New Roman" w:cs="Times New Roman"/>
          <w:sz w:val="24"/>
        </w:rPr>
        <w:t>23 абонентских ввода.</w:t>
      </w:r>
      <w:r w:rsidRPr="00AB5D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Перечень</w:t>
      </w:r>
      <w:r w:rsidRPr="00AB5D0B">
        <w:rPr>
          <w:rFonts w:ascii="Times New Roman" w:hAnsi="Times New Roman" w:cs="Times New Roman"/>
          <w:sz w:val="24"/>
        </w:rPr>
        <w:t xml:space="preserve"> потребителей тепловой энергии </w:t>
      </w:r>
      <w:r>
        <w:rPr>
          <w:rFonts w:ascii="Times New Roman" w:hAnsi="Times New Roman" w:cs="Times New Roman"/>
          <w:sz w:val="24"/>
        </w:rPr>
        <w:t xml:space="preserve">приведен в </w:t>
      </w:r>
      <w:r w:rsidRPr="009A36BB">
        <w:rPr>
          <w:rFonts w:ascii="Times New Roman" w:hAnsi="Times New Roman" w:cs="Times New Roman"/>
          <w:sz w:val="24"/>
        </w:rPr>
        <w:t>приложение 2.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AB5D0B">
        <w:rPr>
          <w:rFonts w:ascii="Times New Roman" w:hAnsi="Times New Roman" w:cs="Times New Roman"/>
          <w:sz w:val="24"/>
        </w:rPr>
        <w:t>Запорно</w:t>
      </w:r>
      <w:proofErr w:type="spellEnd"/>
      <w:r w:rsidRPr="00AB5D0B">
        <w:rPr>
          <w:rFonts w:ascii="Times New Roman" w:hAnsi="Times New Roman" w:cs="Times New Roman"/>
          <w:sz w:val="24"/>
        </w:rPr>
        <w:t>- регулирующая</w:t>
      </w:r>
      <w:proofErr w:type="gramEnd"/>
      <w:r w:rsidRPr="00AB5D0B">
        <w:rPr>
          <w:rFonts w:ascii="Times New Roman" w:hAnsi="Times New Roman" w:cs="Times New Roman"/>
          <w:sz w:val="24"/>
        </w:rPr>
        <w:t xml:space="preserve"> арматура на тепловых сетях представлена фланцевыми задвижками из чугуна и стали, вентилями из стали и бронзы.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На тепловых сетях п. Новобатурино тепловые камеры и тепловые пункты отсутствуют, в местах установки запорной арматуры установлены тепловые колодцы.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Характеристика тепловых сетей приведена в приложении 3</w:t>
      </w:r>
      <w:r>
        <w:rPr>
          <w:rFonts w:ascii="Times New Roman" w:hAnsi="Times New Roman" w:cs="Times New Roman"/>
          <w:sz w:val="24"/>
        </w:rPr>
        <w:t>.</w:t>
      </w:r>
    </w:p>
    <w:p w:rsidR="000F19CF" w:rsidRPr="009A36B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 xml:space="preserve">Температурный график определяется режимом работы тепловых сетей. По данным температурного графика определяется температура падающей и обратной воды в тепловых сетях, а также в абонентском вводе, в зависимости от температуры наружного воздуха. Расчетный температурный график отпуска тепловой энергии-95/70 градусов </w:t>
      </w:r>
      <w:r w:rsidRPr="009A36BB">
        <w:rPr>
          <w:rFonts w:ascii="Times New Roman" w:hAnsi="Times New Roman" w:cs="Times New Roman"/>
          <w:sz w:val="24"/>
        </w:rPr>
        <w:t>(приложение 4).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При гидравлическом расчете решаются следующие задачи: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- определение диаметров трубопроводов;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- определение падения давления (напора) сетевой воды;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>- определение действующих напоров в различных точках сети;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lastRenderedPageBreak/>
        <w:t>- определение допустимых давлений в трубопроводах при различных режимах работы и состояния теплосети.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>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</w:t>
      </w:r>
    </w:p>
    <w:p w:rsidR="000F19CF" w:rsidRPr="0069230D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</w:r>
      <w:r w:rsidRPr="00AB5D0B">
        <w:rPr>
          <w:rFonts w:ascii="Times New Roman" w:hAnsi="Times New Roman" w:cs="Times New Roman"/>
          <w:color w:val="FF0000"/>
          <w:sz w:val="24"/>
        </w:rPr>
        <w:tab/>
      </w:r>
      <w:r w:rsidRPr="0069230D">
        <w:rPr>
          <w:rFonts w:ascii="Times New Roman" w:hAnsi="Times New Roman" w:cs="Times New Roman"/>
          <w:sz w:val="24"/>
        </w:rPr>
        <w:t>За период эксплуатации тепловых сетей и котельной ОАО «</w:t>
      </w:r>
      <w:proofErr w:type="spellStart"/>
      <w:r w:rsidRPr="0069230D">
        <w:rPr>
          <w:rFonts w:ascii="Times New Roman" w:hAnsi="Times New Roman" w:cs="Times New Roman"/>
          <w:sz w:val="24"/>
        </w:rPr>
        <w:t>Челябкоммунэнерго</w:t>
      </w:r>
      <w:proofErr w:type="spellEnd"/>
      <w:r w:rsidRPr="0069230D">
        <w:rPr>
          <w:rFonts w:ascii="Times New Roman" w:hAnsi="Times New Roman" w:cs="Times New Roman"/>
          <w:sz w:val="24"/>
        </w:rPr>
        <w:t xml:space="preserve">» (с октября 2013 года) отказов тепловых сетей, а также аварий, инцидентов при эксплуатации газовой котельной в течение отопительного сезона не наблюдалось. 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0F19CF" w:rsidRDefault="000F19CF" w:rsidP="000F19CF">
      <w:pPr>
        <w:pStyle w:val="1"/>
        <w:jc w:val="center"/>
        <w:rPr>
          <w:color w:val="auto"/>
        </w:rPr>
      </w:pPr>
      <w:r>
        <w:tab/>
      </w:r>
      <w:r>
        <w:rPr>
          <w:color w:val="auto"/>
        </w:rPr>
        <w:t>5.</w:t>
      </w:r>
      <w:r w:rsidRPr="005B443D">
        <w:rPr>
          <w:color w:val="auto"/>
        </w:rPr>
        <w:t xml:space="preserve"> </w:t>
      </w:r>
      <w:r>
        <w:rPr>
          <w:color w:val="auto"/>
        </w:rPr>
        <w:t>Процедуры диагностики состояния тепловых сетей</w:t>
      </w:r>
      <w:r w:rsidRPr="005B443D">
        <w:rPr>
          <w:color w:val="auto"/>
        </w:rPr>
        <w:t>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>
        <w:tab/>
      </w:r>
      <w:r w:rsidRPr="00AB5D0B">
        <w:rPr>
          <w:rFonts w:ascii="Times New Roman" w:hAnsi="Times New Roman" w:cs="Times New Roman"/>
          <w:sz w:val="24"/>
        </w:rPr>
        <w:t>В действующих условиях  и с учетом финансового положени</w:t>
      </w:r>
      <w:r>
        <w:rPr>
          <w:rFonts w:ascii="Times New Roman" w:hAnsi="Times New Roman" w:cs="Times New Roman"/>
          <w:sz w:val="24"/>
        </w:rPr>
        <w:t>й</w:t>
      </w:r>
      <w:r w:rsidRPr="00AB5D0B">
        <w:rPr>
          <w:rFonts w:ascii="Times New Roman" w:hAnsi="Times New Roman" w:cs="Times New Roman"/>
          <w:sz w:val="24"/>
        </w:rPr>
        <w:t xml:space="preserve"> эксплуатирующие </w:t>
      </w:r>
      <w:proofErr w:type="spellStart"/>
      <w:r w:rsidRPr="00AB5D0B">
        <w:rPr>
          <w:rFonts w:ascii="Times New Roman" w:hAnsi="Times New Roman" w:cs="Times New Roman"/>
          <w:sz w:val="24"/>
        </w:rPr>
        <w:t>ресурсоснабжающие</w:t>
      </w:r>
      <w:proofErr w:type="spellEnd"/>
      <w:r w:rsidRPr="00AB5D0B">
        <w:rPr>
          <w:rFonts w:ascii="Times New Roman" w:hAnsi="Times New Roman" w:cs="Times New Roman"/>
          <w:sz w:val="24"/>
        </w:rPr>
        <w:t xml:space="preserve"> организации  проводят работы по поддержанию надежности тепловых сетей на основании результатов </w:t>
      </w:r>
      <w:proofErr w:type="spellStart"/>
      <w:r w:rsidRPr="00AB5D0B">
        <w:rPr>
          <w:rFonts w:ascii="Times New Roman" w:hAnsi="Times New Roman" w:cs="Times New Roman"/>
          <w:sz w:val="24"/>
        </w:rPr>
        <w:t>опрессовки</w:t>
      </w:r>
      <w:proofErr w:type="spellEnd"/>
      <w:r w:rsidRPr="00AB5D0B">
        <w:rPr>
          <w:rFonts w:ascii="Times New Roman" w:hAnsi="Times New Roman" w:cs="Times New Roman"/>
          <w:sz w:val="24"/>
        </w:rPr>
        <w:t xml:space="preserve"> трубопроводов тепловых сетей и систем теплопотребления у потребителей повышенным давлением теплоносителя (сетевой воды).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</w:r>
      <w:proofErr w:type="spellStart"/>
      <w:r w:rsidRPr="00AB5D0B">
        <w:rPr>
          <w:rFonts w:ascii="Times New Roman" w:hAnsi="Times New Roman" w:cs="Times New Roman"/>
          <w:sz w:val="24"/>
          <w:u w:val="single"/>
        </w:rPr>
        <w:t>Опрессовка</w:t>
      </w:r>
      <w:proofErr w:type="spellEnd"/>
      <w:r w:rsidRPr="00AB5D0B">
        <w:rPr>
          <w:rFonts w:ascii="Times New Roman" w:hAnsi="Times New Roman" w:cs="Times New Roman"/>
          <w:sz w:val="24"/>
          <w:u w:val="single"/>
        </w:rPr>
        <w:t xml:space="preserve"> на прочность повышенным давлением.</w:t>
      </w:r>
      <w:r>
        <w:rPr>
          <w:rFonts w:ascii="Times New Roman" w:hAnsi="Times New Roman" w:cs="Times New Roman"/>
          <w:sz w:val="24"/>
        </w:rPr>
        <w:t xml:space="preserve">  Метод применяется</w:t>
      </w:r>
      <w:r w:rsidRPr="00AB5D0B">
        <w:rPr>
          <w:rFonts w:ascii="Times New Roman" w:hAnsi="Times New Roman" w:cs="Times New Roman"/>
          <w:sz w:val="24"/>
        </w:rPr>
        <w:t xml:space="preserve"> с целью выявления 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 94% повреждений выявляется в ремонтный период и только 6% уходит на период отопления. С применением комплексной оперативной системы сбора и анализа данных о состоянии теплопроводов, </w:t>
      </w:r>
      <w:proofErr w:type="spellStart"/>
      <w:r w:rsidRPr="00AB5D0B">
        <w:rPr>
          <w:rFonts w:ascii="Times New Roman" w:hAnsi="Times New Roman" w:cs="Times New Roman"/>
          <w:sz w:val="24"/>
        </w:rPr>
        <w:t>опрессовку</w:t>
      </w:r>
      <w:proofErr w:type="spellEnd"/>
      <w:r w:rsidRPr="00AB5D0B">
        <w:rPr>
          <w:rFonts w:ascii="Times New Roman" w:hAnsi="Times New Roman" w:cs="Times New Roman"/>
          <w:sz w:val="24"/>
        </w:rPr>
        <w:t xml:space="preserve"> стало возможным рассматривать  как метод  диагностики и планирования ремонтов, перекладок ТС.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 xml:space="preserve">Нормативы технологических потерь при выработке (передаче) тепловой энергии рассчитаны </w:t>
      </w:r>
      <w:proofErr w:type="gramStart"/>
      <w:r w:rsidRPr="00AB5D0B">
        <w:rPr>
          <w:rFonts w:ascii="Times New Roman" w:hAnsi="Times New Roman" w:cs="Times New Roman"/>
          <w:sz w:val="24"/>
        </w:rPr>
        <w:t>согласно приказа</w:t>
      </w:r>
      <w:proofErr w:type="gramEnd"/>
      <w:r w:rsidRPr="00AB5D0B">
        <w:rPr>
          <w:rFonts w:ascii="Times New Roman" w:hAnsi="Times New Roman" w:cs="Times New Roman"/>
          <w:sz w:val="24"/>
        </w:rPr>
        <w:t xml:space="preserve"> Минэнерго от 30.12.2008г. №325 «Об организации в Минэнерго РФ работы по утверждению нормативов технологических потерь при передаче тепловой энергии».  Нормативные технологические потери при передаче тепловой энергии по тепловым сетям п. Новобатурино составляют 1 024,37 Гкал.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 w:rsidRPr="00AB5D0B">
        <w:rPr>
          <w:rFonts w:ascii="Times New Roman" w:hAnsi="Times New Roman" w:cs="Times New Roman"/>
          <w:sz w:val="24"/>
        </w:rPr>
        <w:tab/>
        <w:t xml:space="preserve">Расчет потерь в связи с отсутствием приборов учета производится на основании приказа  Минэнерго от 30.12.2008г. №325 «Об организации в Минэнерго РФ работы по утверждению нормативов технологических потерь при передаче тепловой энергии». Динамика изменения тепловых потерь по данным </w:t>
      </w:r>
      <w:proofErr w:type="spellStart"/>
      <w:r w:rsidRPr="00AB5D0B">
        <w:rPr>
          <w:rFonts w:ascii="Times New Roman" w:hAnsi="Times New Roman" w:cs="Times New Roman"/>
          <w:sz w:val="24"/>
        </w:rPr>
        <w:t>ресурсоснабжающей</w:t>
      </w:r>
      <w:proofErr w:type="spellEnd"/>
      <w:r w:rsidRPr="00AB5D0B">
        <w:rPr>
          <w:rFonts w:ascii="Times New Roman" w:hAnsi="Times New Roman" w:cs="Times New Roman"/>
          <w:sz w:val="24"/>
        </w:rPr>
        <w:t xml:space="preserve"> организации ОАО «</w:t>
      </w:r>
      <w:proofErr w:type="spellStart"/>
      <w:r w:rsidRPr="00AB5D0B">
        <w:rPr>
          <w:rFonts w:ascii="Times New Roman" w:hAnsi="Times New Roman" w:cs="Times New Roman"/>
          <w:sz w:val="24"/>
        </w:rPr>
        <w:t>Челябкоммунэнерго</w:t>
      </w:r>
      <w:proofErr w:type="spellEnd"/>
      <w:r w:rsidRPr="00AB5D0B">
        <w:rPr>
          <w:rFonts w:ascii="Times New Roman" w:hAnsi="Times New Roman" w:cs="Times New Roman"/>
          <w:sz w:val="24"/>
        </w:rPr>
        <w:t>» представлена в таблице.</w:t>
      </w:r>
    </w:p>
    <w:tbl>
      <w:tblPr>
        <w:tblStyle w:val="a4"/>
        <w:tblW w:w="0" w:type="auto"/>
        <w:jc w:val="center"/>
        <w:tblLook w:val="04A0"/>
      </w:tblPr>
      <w:tblGrid>
        <w:gridCol w:w="3186"/>
        <w:gridCol w:w="3187"/>
        <w:gridCol w:w="3198"/>
      </w:tblGrid>
      <w:tr w:rsidR="000F19CF" w:rsidTr="007322BF">
        <w:trPr>
          <w:jc w:val="center"/>
        </w:trPr>
        <w:tc>
          <w:tcPr>
            <w:tcW w:w="3186" w:type="dxa"/>
          </w:tcPr>
          <w:p w:rsidR="000F19CF" w:rsidRDefault="000F19CF" w:rsidP="007322BF">
            <w:pPr>
              <w:jc w:val="center"/>
            </w:pPr>
            <w:r>
              <w:t>Период</w:t>
            </w:r>
          </w:p>
        </w:tc>
        <w:tc>
          <w:tcPr>
            <w:tcW w:w="3187" w:type="dxa"/>
          </w:tcPr>
          <w:p w:rsidR="000F19CF" w:rsidRDefault="000F19CF" w:rsidP="007322BF">
            <w:pPr>
              <w:jc w:val="center"/>
            </w:pPr>
            <w:r>
              <w:t>Объем тепловых потерь фактический</w:t>
            </w:r>
            <w:bookmarkStart w:id="0" w:name="_GoBack"/>
            <w:bookmarkEnd w:id="0"/>
            <w:r>
              <w:t>, Гкал</w:t>
            </w:r>
          </w:p>
        </w:tc>
        <w:tc>
          <w:tcPr>
            <w:tcW w:w="3198" w:type="dxa"/>
          </w:tcPr>
          <w:p w:rsidR="000F19CF" w:rsidRDefault="000F19CF" w:rsidP="007322BF">
            <w:pPr>
              <w:jc w:val="center"/>
            </w:pPr>
            <w:r>
              <w:t>Удельный вес тепловых потерь в выработке, %</w:t>
            </w:r>
          </w:p>
        </w:tc>
      </w:tr>
      <w:tr w:rsidR="000F19CF" w:rsidTr="007322BF">
        <w:trPr>
          <w:jc w:val="center"/>
        </w:trPr>
        <w:tc>
          <w:tcPr>
            <w:tcW w:w="3186" w:type="dxa"/>
          </w:tcPr>
          <w:p w:rsidR="000F19CF" w:rsidRDefault="000F19CF" w:rsidP="007322BF">
            <w:pPr>
              <w:jc w:val="center"/>
            </w:pPr>
            <w:r>
              <w:t>С октября 2013года</w:t>
            </w:r>
          </w:p>
        </w:tc>
        <w:tc>
          <w:tcPr>
            <w:tcW w:w="3187" w:type="dxa"/>
          </w:tcPr>
          <w:p w:rsidR="000F19CF" w:rsidRDefault="000F19CF" w:rsidP="007322BF">
            <w:pPr>
              <w:jc w:val="center"/>
            </w:pPr>
            <w:r>
              <w:t>266,03</w:t>
            </w:r>
          </w:p>
        </w:tc>
        <w:tc>
          <w:tcPr>
            <w:tcW w:w="3198" w:type="dxa"/>
          </w:tcPr>
          <w:p w:rsidR="000F19CF" w:rsidRDefault="000F19CF" w:rsidP="007322BF">
            <w:pPr>
              <w:jc w:val="center"/>
            </w:pPr>
            <w:r>
              <w:t>14,71</w:t>
            </w:r>
          </w:p>
        </w:tc>
      </w:tr>
      <w:tr w:rsidR="000F19CF" w:rsidTr="007322BF">
        <w:trPr>
          <w:jc w:val="center"/>
        </w:trPr>
        <w:tc>
          <w:tcPr>
            <w:tcW w:w="3186" w:type="dxa"/>
          </w:tcPr>
          <w:p w:rsidR="000F19CF" w:rsidRDefault="000F19CF" w:rsidP="007322BF">
            <w:pPr>
              <w:jc w:val="center"/>
            </w:pPr>
            <w:r>
              <w:t>2014 год</w:t>
            </w:r>
          </w:p>
        </w:tc>
        <w:tc>
          <w:tcPr>
            <w:tcW w:w="3187" w:type="dxa"/>
          </w:tcPr>
          <w:p w:rsidR="000F19CF" w:rsidRDefault="000F19CF" w:rsidP="007322BF">
            <w:pPr>
              <w:jc w:val="center"/>
            </w:pPr>
            <w:r>
              <w:t>1 037,09</w:t>
            </w:r>
          </w:p>
        </w:tc>
        <w:tc>
          <w:tcPr>
            <w:tcW w:w="3198" w:type="dxa"/>
          </w:tcPr>
          <w:p w:rsidR="000F19CF" w:rsidRDefault="000F19CF" w:rsidP="007322BF">
            <w:pPr>
              <w:jc w:val="center"/>
            </w:pPr>
            <w:r>
              <w:t>19,55</w:t>
            </w:r>
          </w:p>
        </w:tc>
      </w:tr>
    </w:tbl>
    <w:p w:rsidR="000F19CF" w:rsidRDefault="000F19CF" w:rsidP="000F19CF"/>
    <w:p w:rsidR="000F19CF" w:rsidRDefault="000F19CF" w:rsidP="000F19CF">
      <w:pPr>
        <w:pStyle w:val="1"/>
        <w:jc w:val="center"/>
        <w:rPr>
          <w:color w:val="auto"/>
        </w:rPr>
      </w:pPr>
      <w:r>
        <w:rPr>
          <w:color w:val="auto"/>
        </w:rPr>
        <w:lastRenderedPageBreak/>
        <w:t>6</w:t>
      </w:r>
      <w:r w:rsidRPr="005B443D">
        <w:rPr>
          <w:color w:val="auto"/>
        </w:rPr>
        <w:t xml:space="preserve">. </w:t>
      </w:r>
      <w:r>
        <w:rPr>
          <w:color w:val="auto"/>
        </w:rPr>
        <w:t>Предложения реконструкции и технического перевооружения источников тепловой энергии и тепловых сетей</w:t>
      </w:r>
      <w:r w:rsidRPr="005B443D">
        <w:rPr>
          <w:color w:val="auto"/>
        </w:rPr>
        <w:t>.</w:t>
      </w:r>
    </w:p>
    <w:p w:rsidR="000F19CF" w:rsidRDefault="000F19CF" w:rsidP="000F19CF">
      <w:pPr>
        <w:jc w:val="both"/>
        <w:rPr>
          <w:rFonts w:ascii="Times New Roman" w:hAnsi="Times New Roman" w:cs="Times New Roman"/>
          <w:sz w:val="24"/>
        </w:rPr>
      </w:pPr>
      <w:r>
        <w:tab/>
      </w:r>
      <w:r w:rsidRPr="00AB5D0B">
        <w:rPr>
          <w:rFonts w:ascii="Times New Roman" w:hAnsi="Times New Roman" w:cs="Times New Roman"/>
          <w:sz w:val="24"/>
        </w:rPr>
        <w:t xml:space="preserve">Средний износ трубопроводов теплосетей в поселении </w:t>
      </w:r>
      <w:r w:rsidRPr="00706C26">
        <w:rPr>
          <w:rFonts w:ascii="Times New Roman" w:hAnsi="Times New Roman" w:cs="Times New Roman"/>
          <w:sz w:val="24"/>
        </w:rPr>
        <w:t>75%</w:t>
      </w:r>
      <w:r w:rsidRPr="00AB5D0B">
        <w:rPr>
          <w:rFonts w:ascii="Times New Roman" w:hAnsi="Times New Roman" w:cs="Times New Roman"/>
          <w:sz w:val="24"/>
        </w:rPr>
        <w:t>. Для решения данной задачи необходима модернизация тепловых сетей - замена ветхих стальных труб теплотрасс на трубы в пенополиуретановой изоляции. Всего в Новобатуринском сельском поселении протяженность тепловых сетей составляет 1 736,33 метра. Изношенность стальных труб является причиной недопоставки тепла потребителям.</w:t>
      </w:r>
    </w:p>
    <w:p w:rsidR="000F19CF" w:rsidRPr="00A8305A" w:rsidRDefault="000F19CF" w:rsidP="000F19CF">
      <w:pPr>
        <w:pStyle w:val="a5"/>
        <w:rPr>
          <w:rFonts w:ascii="Times New Roman" w:hAnsi="Times New Roman" w:cs="Times New Roman"/>
          <w:sz w:val="24"/>
          <w:szCs w:val="24"/>
        </w:rPr>
      </w:pPr>
      <w:r>
        <w:tab/>
      </w:r>
      <w:r w:rsidRPr="00A8305A">
        <w:rPr>
          <w:rFonts w:ascii="Times New Roman" w:hAnsi="Times New Roman" w:cs="Times New Roman"/>
          <w:sz w:val="24"/>
          <w:szCs w:val="24"/>
        </w:rPr>
        <w:t>По результатам эксплуатации тепловых сетей в отопительном периоде 2014-2015гг были выявлены повреждения на следующих участках тепловых сетей:</w:t>
      </w:r>
    </w:p>
    <w:p w:rsidR="000F19CF" w:rsidRPr="00A8305A" w:rsidRDefault="000F19CF" w:rsidP="000F19C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305A">
        <w:rPr>
          <w:rFonts w:ascii="Times New Roman" w:hAnsi="Times New Roman" w:cs="Times New Roman"/>
          <w:sz w:val="24"/>
          <w:szCs w:val="24"/>
        </w:rPr>
        <w:t>- ВУ-5 – больница (диаметр 50мм);</w:t>
      </w:r>
    </w:p>
    <w:p w:rsidR="000F19CF" w:rsidRPr="00A8305A" w:rsidRDefault="000F19CF" w:rsidP="000F19C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305A">
        <w:rPr>
          <w:rFonts w:ascii="Times New Roman" w:hAnsi="Times New Roman" w:cs="Times New Roman"/>
          <w:sz w:val="24"/>
          <w:szCs w:val="24"/>
        </w:rPr>
        <w:t>- ТК 4.1.- Администрация (диаметр 50мм);</w:t>
      </w:r>
    </w:p>
    <w:p w:rsidR="000F19CF" w:rsidRPr="00A8305A" w:rsidRDefault="000F19CF" w:rsidP="000F19C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305A">
        <w:rPr>
          <w:rFonts w:ascii="Times New Roman" w:hAnsi="Times New Roman" w:cs="Times New Roman"/>
          <w:sz w:val="24"/>
          <w:szCs w:val="24"/>
        </w:rPr>
        <w:t>- ТК 4.1. – магазин (диаметром 50мм);</w:t>
      </w:r>
    </w:p>
    <w:p w:rsidR="000F19CF" w:rsidRPr="00A8305A" w:rsidRDefault="000F19CF" w:rsidP="000F19CF">
      <w:pPr>
        <w:jc w:val="both"/>
        <w:rPr>
          <w:rFonts w:ascii="Times New Roman" w:hAnsi="Times New Roman" w:cs="Times New Roman"/>
          <w:sz w:val="24"/>
          <w:szCs w:val="24"/>
        </w:rPr>
      </w:pPr>
      <w:r w:rsidRPr="00A8305A">
        <w:rPr>
          <w:rFonts w:ascii="Times New Roman" w:hAnsi="Times New Roman" w:cs="Times New Roman"/>
          <w:sz w:val="24"/>
          <w:szCs w:val="24"/>
        </w:rPr>
        <w:t>- ВУ -2 –пожарное депо (диаметром 50мм).</w:t>
      </w:r>
    </w:p>
    <w:p w:rsidR="000F19CF" w:rsidRDefault="000F19CF" w:rsidP="000F19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указанных участках тепловых сетей необходимо проведение капитального ремонта.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B5D0B">
        <w:rPr>
          <w:rFonts w:ascii="Times New Roman" w:hAnsi="Times New Roman" w:cs="Times New Roman"/>
          <w:sz w:val="24"/>
        </w:rPr>
        <w:t>В 2012-2020гг в рамках комплексной программы развития коммунальной инфраструктуры поселения нужна замена труб ветхих теплотрасс на трубы в пенополиуретановой изоляции.</w:t>
      </w:r>
    </w:p>
    <w:p w:rsidR="000F19CF" w:rsidRDefault="000F19CF" w:rsidP="000F19CF">
      <w:pPr>
        <w:pStyle w:val="1"/>
        <w:jc w:val="center"/>
        <w:rPr>
          <w:color w:val="auto"/>
        </w:rPr>
      </w:pPr>
      <w:r>
        <w:rPr>
          <w:color w:val="auto"/>
        </w:rPr>
        <w:t>7</w:t>
      </w:r>
      <w:r w:rsidRPr="005B443D">
        <w:rPr>
          <w:color w:val="auto"/>
        </w:rPr>
        <w:t xml:space="preserve">. </w:t>
      </w:r>
      <w:r>
        <w:rPr>
          <w:color w:val="auto"/>
        </w:rPr>
        <w:t>Перспективное потребление тепловой мощности и тепловой энергии на цели теплоснабжения в административных границах поселка.</w:t>
      </w:r>
    </w:p>
    <w:p w:rsidR="000F19CF" w:rsidRPr="00AB5D0B" w:rsidRDefault="000F19CF" w:rsidP="000F1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5D0B"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  в поселении ежегодно возрастает незначительно. При строительстве  многоквартирного жилищного фонда и социальной инфраструктуры,    индивидуального  жилищного фонда  используются автономные источники теплоснабжения. В связи с этим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5D0B">
        <w:rPr>
          <w:rFonts w:ascii="Times New Roman" w:hAnsi="Times New Roman" w:cs="Times New Roman"/>
          <w:color w:val="000000"/>
          <w:sz w:val="24"/>
          <w:szCs w:val="24"/>
        </w:rPr>
        <w:t>  потребностей в строительстве новых тепловых сетей с целью обеспечения приростов тепловой нагрузки в существующих зонах действия источника теплоснабжения, приросте тепловой нагрузки  для целей отопления, горячего водоснабжения,     нет.  Фактическая  мощность котельной используется потребителями Новобатуринского сельского поселения на 84,6%. Присоединение дополнительных тепловых нагрузок к данной котельной не предусмотрено.</w:t>
      </w:r>
    </w:p>
    <w:p w:rsidR="000F19CF" w:rsidRDefault="000F19CF" w:rsidP="000F1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19CF" w:rsidRDefault="000F19CF" w:rsidP="000F19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F19CF" w:rsidRDefault="000F19CF" w:rsidP="000F1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0F19CF" w:rsidRDefault="000F19CF" w:rsidP="000F1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абонентов (потребителей) п. Новобатурино, отапливаемых от газовой котельной  поселка</w:t>
      </w:r>
    </w:p>
    <w:tbl>
      <w:tblPr>
        <w:tblStyle w:val="a4"/>
        <w:tblW w:w="0" w:type="auto"/>
        <w:tblLook w:val="04A0"/>
      </w:tblPr>
      <w:tblGrid>
        <w:gridCol w:w="630"/>
        <w:gridCol w:w="2676"/>
        <w:gridCol w:w="2458"/>
        <w:gridCol w:w="1658"/>
        <w:gridCol w:w="2149"/>
      </w:tblGrid>
      <w:tr w:rsidR="000F19CF" w:rsidTr="007322BF">
        <w:tc>
          <w:tcPr>
            <w:tcW w:w="9571" w:type="dxa"/>
            <w:gridSpan w:val="5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</w:tr>
      <w:tr w:rsidR="000F19CF" w:rsidTr="007322BF">
        <w:tc>
          <w:tcPr>
            <w:tcW w:w="630" w:type="dxa"/>
            <w:vMerge w:val="restart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4" w:type="dxa"/>
            <w:gridSpan w:val="2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658" w:type="dxa"/>
            <w:vMerge w:val="restart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жильцов, чел.</w:t>
            </w:r>
          </w:p>
        </w:tc>
        <w:tc>
          <w:tcPr>
            <w:tcW w:w="2149" w:type="dxa"/>
            <w:vMerge w:val="restart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Отапливаемая площадь,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F19CF" w:rsidTr="007322BF">
        <w:tc>
          <w:tcPr>
            <w:tcW w:w="630" w:type="dxa"/>
            <w:vMerge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658" w:type="dxa"/>
            <w:vMerge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0F19CF" w:rsidRDefault="000F19CF" w:rsidP="0073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573,70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577,60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565,10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575,40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574,10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571,83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572,30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583,20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559,80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574,40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1553,48</w:t>
            </w:r>
          </w:p>
        </w:tc>
      </w:tr>
      <w:tr w:rsidR="000F19CF" w:rsidTr="007322BF">
        <w:tc>
          <w:tcPr>
            <w:tcW w:w="630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6" w:type="dxa"/>
          </w:tcPr>
          <w:p w:rsidR="000F19CF" w:rsidRDefault="000F19CF" w:rsidP="007322BF">
            <w:r w:rsidRPr="00777D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1463,99</w:t>
            </w:r>
          </w:p>
        </w:tc>
      </w:tr>
      <w:tr w:rsidR="000F19CF" w:rsidTr="007322BF">
        <w:tc>
          <w:tcPr>
            <w:tcW w:w="5764" w:type="dxa"/>
            <w:gridSpan w:val="3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жилой фонд</w:t>
            </w:r>
          </w:p>
        </w:tc>
        <w:tc>
          <w:tcPr>
            <w:tcW w:w="1658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4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9 359,50</w:t>
            </w:r>
          </w:p>
        </w:tc>
      </w:tr>
    </w:tbl>
    <w:p w:rsidR="000F19CF" w:rsidRDefault="000F19CF" w:rsidP="000F1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694"/>
        <w:gridCol w:w="2409"/>
        <w:gridCol w:w="3793"/>
      </w:tblGrid>
      <w:tr w:rsidR="000F19CF" w:rsidTr="007322BF">
        <w:tc>
          <w:tcPr>
            <w:tcW w:w="9571" w:type="dxa"/>
            <w:gridSpan w:val="4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бюджетной сферы</w:t>
            </w:r>
          </w:p>
        </w:tc>
      </w:tr>
      <w:tr w:rsidR="000F19CF" w:rsidTr="007322BF">
        <w:trPr>
          <w:trHeight w:val="305"/>
        </w:trPr>
        <w:tc>
          <w:tcPr>
            <w:tcW w:w="675" w:type="dxa"/>
            <w:vMerge w:val="restart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gridSpan w:val="2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793" w:type="dxa"/>
            <w:vMerge w:val="restart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F19CF" w:rsidTr="007322BF">
        <w:tc>
          <w:tcPr>
            <w:tcW w:w="675" w:type="dxa"/>
            <w:vMerge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793" w:type="dxa"/>
            <w:vMerge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19CF" w:rsidRDefault="000F19CF" w:rsidP="0073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19CF" w:rsidRDefault="000F19CF" w:rsidP="0073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(гараж)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F19CF" w:rsidRDefault="000F19CF" w:rsidP="0073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ДС «Петушок»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Новобатуринского сельского поселения</w:t>
            </w:r>
          </w:p>
        </w:tc>
      </w:tr>
      <w:tr w:rsidR="000F19CF" w:rsidTr="007322BF">
        <w:tc>
          <w:tcPr>
            <w:tcW w:w="9571" w:type="dxa"/>
            <w:gridSpan w:val="4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Щипунов А.Н.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«Почта России»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 В.А.</w:t>
            </w:r>
          </w:p>
        </w:tc>
      </w:tr>
      <w:tr w:rsidR="000F19CF" w:rsidTr="007322BF">
        <w:tc>
          <w:tcPr>
            <w:tcW w:w="675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F19CF" w:rsidRDefault="000F19CF" w:rsidP="007322BF">
            <w:r w:rsidRPr="00916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409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793" w:type="dxa"/>
          </w:tcPr>
          <w:p w:rsidR="000F19CF" w:rsidRDefault="000F19CF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Берген Т.Г.</w:t>
            </w:r>
          </w:p>
        </w:tc>
      </w:tr>
    </w:tbl>
    <w:p w:rsidR="000F19CF" w:rsidRDefault="000F19CF" w:rsidP="000F1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9CF" w:rsidRDefault="000F19CF" w:rsidP="000F1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19CF" w:rsidRPr="00095A22" w:rsidRDefault="000F19CF" w:rsidP="000F19CF">
      <w:pPr>
        <w:spacing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lastRenderedPageBreak/>
        <w:t>Приложение 4</w:t>
      </w:r>
    </w:p>
    <w:p w:rsidR="000F19CF" w:rsidRPr="00095A22" w:rsidRDefault="000F19CF" w:rsidP="000F19CF">
      <w:pPr>
        <w:spacing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График температур сетевой воды и режимная карта для котельной п. Новобатурино, эксплуатируемой ОАО «</w:t>
      </w:r>
      <w:proofErr w:type="spellStart"/>
      <w:r w:rsidRPr="00095A22">
        <w:rPr>
          <w:rFonts w:ascii="Times New Roman" w:hAnsi="Times New Roman" w:cs="Times New Roman"/>
          <w:color w:val="0000CC"/>
          <w:sz w:val="24"/>
          <w:szCs w:val="24"/>
        </w:rPr>
        <w:t>Челябкоммунэнерго</w:t>
      </w:r>
      <w:proofErr w:type="spellEnd"/>
      <w:r w:rsidRPr="00095A22">
        <w:rPr>
          <w:rFonts w:ascii="Times New Roman" w:hAnsi="Times New Roman" w:cs="Times New Roman"/>
          <w:color w:val="0000CC"/>
          <w:sz w:val="24"/>
          <w:szCs w:val="24"/>
        </w:rPr>
        <w:t>»</w:t>
      </w:r>
    </w:p>
    <w:tbl>
      <w:tblPr>
        <w:tblStyle w:val="a4"/>
        <w:tblW w:w="5001" w:type="pct"/>
        <w:tblLook w:val="04A0"/>
      </w:tblPr>
      <w:tblGrid>
        <w:gridCol w:w="2803"/>
        <w:gridCol w:w="3580"/>
        <w:gridCol w:w="3190"/>
      </w:tblGrid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Температура наружного воздуха </w:t>
            </w:r>
            <w:proofErr w:type="gramStart"/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t</w:t>
            </w:r>
            <w:proofErr w:type="gramEnd"/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н.в., </w:t>
            </w:r>
            <w:r w:rsidRPr="00095A22">
              <w:rPr>
                <w:rFonts w:ascii="Calibri" w:hAnsi="Calibri" w:cs="Times New Roman"/>
                <w:color w:val="0000CC"/>
                <w:sz w:val="24"/>
                <w:szCs w:val="24"/>
              </w:rPr>
              <w:t>⁰</w:t>
            </w: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С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Температура сетевой воды в подающем трубопроводе, </w:t>
            </w:r>
            <w:proofErr w:type="gramStart"/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T</w:t>
            </w:r>
            <w:proofErr w:type="gramEnd"/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п., </w:t>
            </w:r>
            <w:r w:rsidRPr="00095A22">
              <w:rPr>
                <w:rFonts w:ascii="Calibri" w:hAnsi="Calibri" w:cs="Times New Roman"/>
                <w:color w:val="0000CC"/>
                <w:sz w:val="24"/>
                <w:szCs w:val="24"/>
              </w:rPr>
              <w:t>⁰</w:t>
            </w: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С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Температура сетевой воды в обратном трубопроводе, </w:t>
            </w:r>
            <w:proofErr w:type="gramStart"/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T</w:t>
            </w:r>
            <w:proofErr w:type="gramEnd"/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о., </w:t>
            </w:r>
            <w:r w:rsidRPr="00095A22">
              <w:rPr>
                <w:rFonts w:ascii="Calibri" w:hAnsi="Calibri" w:cs="Times New Roman"/>
                <w:color w:val="0000CC"/>
                <w:sz w:val="24"/>
                <w:szCs w:val="24"/>
              </w:rPr>
              <w:t>⁰</w:t>
            </w: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С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10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60,3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60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59,7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59,5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59,2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59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58,7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58,5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58,2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58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0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57,7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57,5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57,3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-3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57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-4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56,8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-5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56,6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-6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56,3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-7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56,1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-8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55,8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-9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55,6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-10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55,4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-11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55,1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-12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54,9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-13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color w:val="0000CC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54,7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-14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71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55,3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-15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72,3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56,1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-16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73,5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56,9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-17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74,8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57,6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-18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76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58,4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-19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77,2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59,1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-20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78,4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59,9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-21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79,6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60,7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-22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80,8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61,4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-23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82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62,1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-24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83,2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62,9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-25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84,4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63,6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-26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85,6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64,3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-27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86,8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65,1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-28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88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65,8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-29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89,2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66,5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-30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90,3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67,2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-31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91,5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67,9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-32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92,7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68,6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lastRenderedPageBreak/>
              <w:t>-33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93,8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69,3</w:t>
            </w:r>
          </w:p>
        </w:tc>
      </w:tr>
      <w:tr w:rsidR="000F19CF" w:rsidRPr="00095A22" w:rsidTr="007322BF">
        <w:tc>
          <w:tcPr>
            <w:tcW w:w="1464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-34</w:t>
            </w:r>
          </w:p>
        </w:tc>
        <w:tc>
          <w:tcPr>
            <w:tcW w:w="1870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95</w:t>
            </w:r>
          </w:p>
        </w:tc>
        <w:tc>
          <w:tcPr>
            <w:tcW w:w="1666" w:type="pct"/>
          </w:tcPr>
          <w:p w:rsidR="000F19CF" w:rsidRPr="00095A22" w:rsidRDefault="000F19CF" w:rsidP="007322BF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95A2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70</w:t>
            </w:r>
          </w:p>
        </w:tc>
      </w:tr>
    </w:tbl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Режимная карта отопительного периода</w:t>
      </w:r>
    </w:p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Параметры теплоносителя:</w:t>
      </w:r>
    </w:p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Температурный график 95-70</w:t>
      </w:r>
      <w:proofErr w:type="gramStart"/>
      <w:r w:rsidRPr="00095A22">
        <w:rPr>
          <w:rFonts w:ascii="Calibri" w:hAnsi="Calibri" w:cs="Times New Roman"/>
          <w:color w:val="0000CC"/>
          <w:sz w:val="24"/>
          <w:szCs w:val="24"/>
        </w:rPr>
        <w:t>⁰</w:t>
      </w:r>
      <w:r w:rsidRPr="00095A22">
        <w:rPr>
          <w:rFonts w:ascii="Times New Roman" w:hAnsi="Times New Roman" w:cs="Times New Roman"/>
          <w:color w:val="0000CC"/>
          <w:sz w:val="24"/>
          <w:szCs w:val="24"/>
        </w:rPr>
        <w:t>С</w:t>
      </w:r>
      <w:proofErr w:type="gramEnd"/>
      <w:r w:rsidRPr="00095A22">
        <w:rPr>
          <w:rFonts w:ascii="Times New Roman" w:hAnsi="Times New Roman" w:cs="Times New Roman"/>
          <w:color w:val="0000CC"/>
          <w:sz w:val="24"/>
          <w:szCs w:val="24"/>
        </w:rPr>
        <w:t xml:space="preserve">, </w:t>
      </w:r>
    </w:p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Давление в подающем трубопроводе -3,5кгс/см</w:t>
      </w:r>
      <w:proofErr w:type="gramStart"/>
      <w:r w:rsidRPr="00095A22">
        <w:rPr>
          <w:rFonts w:ascii="Times New Roman" w:hAnsi="Times New Roman" w:cs="Times New Roman"/>
          <w:color w:val="0000CC"/>
          <w:sz w:val="24"/>
          <w:szCs w:val="24"/>
        </w:rPr>
        <w:t>2</w:t>
      </w:r>
      <w:proofErr w:type="gramEnd"/>
    </w:p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Давление в обратном трубопроводе – 3,0кгс/см</w:t>
      </w:r>
      <w:proofErr w:type="gramStart"/>
      <w:r w:rsidRPr="00095A22">
        <w:rPr>
          <w:rFonts w:ascii="Times New Roman" w:hAnsi="Times New Roman" w:cs="Times New Roman"/>
          <w:color w:val="0000CC"/>
          <w:sz w:val="24"/>
          <w:szCs w:val="24"/>
        </w:rPr>
        <w:t>2</w:t>
      </w:r>
      <w:proofErr w:type="gramEnd"/>
    </w:p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Расчетный расход сетевой воды- 71,5т/ч</w:t>
      </w:r>
    </w:p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>Подпитка-0,66т/ч</w:t>
      </w:r>
    </w:p>
    <w:p w:rsidR="000F19CF" w:rsidRPr="00095A22" w:rsidRDefault="000F19CF" w:rsidP="000F19CF">
      <w:pPr>
        <w:spacing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095A22">
        <w:rPr>
          <w:rFonts w:ascii="Times New Roman" w:hAnsi="Times New Roman" w:cs="Times New Roman"/>
          <w:color w:val="0000CC"/>
          <w:sz w:val="24"/>
          <w:szCs w:val="24"/>
        </w:rPr>
        <w:t xml:space="preserve">Режимная карта </w:t>
      </w:r>
      <w:proofErr w:type="spellStart"/>
      <w:r w:rsidRPr="00095A22">
        <w:rPr>
          <w:rFonts w:ascii="Times New Roman" w:hAnsi="Times New Roman" w:cs="Times New Roman"/>
          <w:color w:val="0000CC"/>
          <w:sz w:val="24"/>
          <w:szCs w:val="24"/>
        </w:rPr>
        <w:t>межотопительного</w:t>
      </w:r>
      <w:proofErr w:type="spellEnd"/>
      <w:r w:rsidRPr="00095A22">
        <w:rPr>
          <w:rFonts w:ascii="Times New Roman" w:hAnsi="Times New Roman" w:cs="Times New Roman"/>
          <w:color w:val="0000CC"/>
          <w:sz w:val="24"/>
          <w:szCs w:val="24"/>
        </w:rPr>
        <w:t xml:space="preserve"> периода</w:t>
      </w:r>
    </w:p>
    <w:p w:rsidR="00F8430C" w:rsidRDefault="000F19CF" w:rsidP="000F19CF">
      <w:r w:rsidRPr="00095A22">
        <w:rPr>
          <w:rFonts w:ascii="Times New Roman" w:hAnsi="Times New Roman" w:cs="Times New Roman"/>
          <w:color w:val="0000CC"/>
          <w:sz w:val="24"/>
          <w:szCs w:val="24"/>
        </w:rPr>
        <w:t>Параметры теплоносителя</w:t>
      </w:r>
    </w:p>
    <w:sectPr w:rsidR="00F8430C" w:rsidSect="00F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B73"/>
    <w:multiLevelType w:val="multilevel"/>
    <w:tmpl w:val="7E98E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9CF"/>
    <w:rsid w:val="000F19CF"/>
    <w:rsid w:val="005427E3"/>
    <w:rsid w:val="00706C26"/>
    <w:rsid w:val="00A823E0"/>
    <w:rsid w:val="00F8430C"/>
    <w:rsid w:val="00FE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2A"/>
  </w:style>
  <w:style w:type="paragraph" w:styleId="1">
    <w:name w:val="heading 1"/>
    <w:basedOn w:val="a"/>
    <w:next w:val="a"/>
    <w:link w:val="10"/>
    <w:uiPriority w:val="9"/>
    <w:qFormat/>
    <w:rsid w:val="000F1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3"/>
    <w:rsid w:val="000F19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F19CF"/>
    <w:pPr>
      <w:widowControl w:val="0"/>
      <w:shd w:val="clear" w:color="auto" w:fill="FFFFFF"/>
      <w:spacing w:after="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0F19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19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5.2759525748936678E-2"/>
          <c:w val="0.9791666666666663"/>
          <c:h val="0.892566446435575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Полезный отпуск</c:v>
                </c:pt>
              </c:strCache>
            </c:strRef>
          </c:tx>
          <c:dLbls>
            <c:dLbl>
              <c:idx val="0"/>
              <c:layout>
                <c:manualLayout>
                  <c:x val="-2.1912679696763811E-3"/>
                  <c:y val="-5.475487439070129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жилищный фонд; 2939,39; 73%</a:t>
                    </a:r>
                  </a:p>
                </c:rich>
              </c:tx>
              <c:showVal val="1"/>
              <c:showSerName val="1"/>
              <c:showPercent val="1"/>
            </c:dLbl>
            <c:dLbl>
              <c:idx val="1"/>
              <c:layout>
                <c:manualLayout>
                  <c:x val="7.2771360432738539E-4"/>
                  <c:y val="8.9429730374612458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объекты бюджетной сферы; 882,41; 22%</a:t>
                    </a:r>
                    <a:endParaRPr lang="ru-RU"/>
                  </a:p>
                </c:rich>
              </c:tx>
              <c:showVal val="1"/>
              <c:showSerName val="1"/>
              <c:showPercent val="1"/>
            </c:dLbl>
            <c:dLbl>
              <c:idx val="2"/>
              <c:layout>
                <c:manualLayout>
                  <c:x val="0.115769881556683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Прочие потребители; 210,59; 5%</a:t>
                    </a:r>
                  </a:p>
                </c:rich>
              </c:tx>
              <c:showVal val="1"/>
              <c:showSerName val="1"/>
              <c:showPercent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Ser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жилищный фонд</c:v>
                </c:pt>
                <c:pt idx="1">
                  <c:v>объекты бюджетной сферы</c:v>
                </c:pt>
                <c:pt idx="2">
                  <c:v>прочие потребители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2939.3900000000012</c:v>
                </c:pt>
                <c:pt idx="1">
                  <c:v>882.41</c:v>
                </c:pt>
                <c:pt idx="2">
                  <c:v>210.59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2015-09-21T06:13:00Z</dcterms:created>
  <dcterms:modified xsi:type="dcterms:W3CDTF">2015-10-08T09:43:00Z</dcterms:modified>
</cp:coreProperties>
</file>