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D9" w:rsidRDefault="00B92DD9" w:rsidP="00B92DD9">
      <w:pPr>
        <w:pageBreakBefore/>
        <w:spacing w:line="360" w:lineRule="auto"/>
        <w:ind w:firstLine="709"/>
        <w:jc w:val="center"/>
      </w:pPr>
      <w:bookmarkStart w:id="0" w:name="_GoBack"/>
      <w:r>
        <w:rPr>
          <w:b/>
          <w:szCs w:val="28"/>
        </w:rPr>
        <w:t>Кадастровая палата расширяет виды деятельности</w:t>
      </w:r>
    </w:p>
    <w:bookmarkEnd w:id="0"/>
    <w:p w:rsidR="00B92DD9" w:rsidRDefault="00B92DD9" w:rsidP="00B92DD9">
      <w:pPr>
        <w:spacing w:line="360" w:lineRule="auto"/>
        <w:ind w:firstLine="709"/>
        <w:jc w:val="both"/>
        <w:rPr>
          <w:b/>
          <w:szCs w:val="28"/>
        </w:rPr>
      </w:pP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28 июня 2017 года вступили в силу изменения в устав Федеральной кадастровой палаты Росреестра. Теперь за учреждением закрепляются новые функции, и предоставляется возможность заниматься дополнительными видами деятельности. Перемены в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B92DD9" w:rsidRDefault="00B92DD9" w:rsidP="00B92DD9">
      <w:pPr>
        <w:spacing w:line="360" w:lineRule="auto"/>
        <w:ind w:firstLine="709"/>
        <w:jc w:val="both"/>
        <w:rPr>
          <w:i/>
          <w:szCs w:val="28"/>
        </w:rPr>
      </w:pP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 xml:space="preserve">Комментирует директор Кадастровой палаты по Челябинской области </w:t>
      </w:r>
      <w:r>
        <w:rPr>
          <w:b/>
          <w:szCs w:val="28"/>
        </w:rPr>
        <w:t>Марина Семенова:</w:t>
      </w:r>
      <w:r>
        <w:rPr>
          <w:szCs w:val="28"/>
        </w:rPr>
        <w:t xml:space="preserve"> «</w:t>
      </w:r>
      <w:r>
        <w:rPr>
          <w:i/>
          <w:szCs w:val="28"/>
        </w:rPr>
        <w:t>С 1 января 2017 года, в связи с вступлением в силу 218-ФЗ, функции кадастрового учета и регистрации прав сосредоточены в Росреестре, появилась единая учетно-регистрационная процедура и Единый реестр недвижимости. В связи с чем Кадастровой палате необходимо сосредоточиться на новых направлениях деятельности. Теперь мы будем предоставлять населению услуги в сфере недвижимости, выдавать сертификаты электронной подписи, переводить архивные дела в электронную форму и ряд других услуг. В том числе планируется выполнение кадастровых работ для объектов федеральной собственности. Также одно из важных направлений – исправление кадастровых (реестровых) ошибок</w:t>
      </w:r>
      <w:r>
        <w:rPr>
          <w:szCs w:val="28"/>
        </w:rPr>
        <w:t>».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Кроме того, с июня 2017 года Кадастровая палата вправе осуществлять следующие виды приносящей доход деятельности: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комплексных кадастровых работ по государственным и муниципальным контрактам;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lastRenderedPageBreak/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создание и модернизация информационных систем различного назначения, их эксплуатация и организационно-технологическое сопровождение, обеспечение функционирования и использование содержащихся в них информационных ресурсов;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выполнение научно-исследовательских, опытно-конструкторских работ;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- оказание информационных, справочных, аналитических и консультационных услуг, анализ программ и проектов.</w:t>
      </w:r>
    </w:p>
    <w:p w:rsidR="00B92DD9" w:rsidRDefault="00B92DD9" w:rsidP="00B92DD9">
      <w:pPr>
        <w:spacing w:line="360" w:lineRule="auto"/>
        <w:ind w:firstLine="709"/>
        <w:jc w:val="both"/>
      </w:pPr>
      <w:r>
        <w:rPr>
          <w:szCs w:val="28"/>
        </w:rPr>
        <w:t>В пределах своей компетенции учреждение обеспечивает хранение томов реестровых дел на бумажных носителях, сформированных до 1 января 2017 года в качестве кадастровых дел, а также хранение сформированных до указанного срока кадастровых дел объектов недвижимости, сведениям о которых присвоен статус «аннулированные». Также, в связи с нововведениями, Кадастровая палата будет обеспечивать представление в саморегулируемые организации кадастровых инженеров информацию о результатах профессиональной деятельности их членов.</w:t>
      </w:r>
    </w:p>
    <w:p w:rsidR="00B92DD9" w:rsidRDefault="00B92DD9" w:rsidP="00B92DD9">
      <w:pPr>
        <w:spacing w:line="360" w:lineRule="auto"/>
        <w:ind w:firstLine="680"/>
        <w:jc w:val="both"/>
        <w:rPr>
          <w:szCs w:val="28"/>
        </w:rPr>
      </w:pPr>
    </w:p>
    <w:p w:rsidR="00B92DD9" w:rsidRDefault="00B92DD9" w:rsidP="00B92DD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B92DD9" w:rsidRDefault="00B92DD9" w:rsidP="00B92DD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Росреестра» по Челябинской области </w:t>
      </w:r>
    </w:p>
    <w:p w:rsidR="00B92DD9" w:rsidRDefault="00B92DD9" w:rsidP="00B92DD9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>Н.М. Киракосян</w:t>
      </w:r>
    </w:p>
    <w:p w:rsidR="00634F1E" w:rsidRDefault="00634F1E"/>
    <w:sectPr w:rsidR="0063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FC"/>
    <w:rsid w:val="00634F1E"/>
    <w:rsid w:val="006678FC"/>
    <w:rsid w:val="00B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2017-08-17T05:16:00Z</dcterms:created>
  <dcterms:modified xsi:type="dcterms:W3CDTF">2017-08-17T05:16:00Z</dcterms:modified>
</cp:coreProperties>
</file>