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A3" w:rsidRDefault="003958CB" w:rsidP="00B7608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3958CB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C7" w:rsidRDefault="00D11BC7" w:rsidP="00D11BC7">
      <w:pPr>
        <w:pStyle w:val="a9"/>
        <w:ind w:left="-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D11BC7" w:rsidRDefault="00D11BC7" w:rsidP="00D11BC7">
      <w:pPr>
        <w:pStyle w:val="a9"/>
        <w:ind w:left="-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КАРАТАБАНСКОГО СЕЛЬСКОГО ПОСЕЛЕНИЯ</w:t>
      </w: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ЕТКУЛЬСКОГО МУНИЦИПАЛЬНОГО РАЙОНА</w:t>
      </w: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11BC7" w:rsidRDefault="00D11BC7" w:rsidP="00D11BC7">
      <w:pPr>
        <w:pStyle w:val="a9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D11BC7" w:rsidTr="0036339A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11BC7" w:rsidRDefault="00D11BC7" w:rsidP="0036339A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456572,  Челябинская область, Еткульский район, с. Каратабан, ул. Набережная, д.6</w:t>
            </w:r>
            <w:proofErr w:type="gramEnd"/>
          </w:p>
          <w:p w:rsidR="00D11BC7" w:rsidRDefault="00D11BC7" w:rsidP="0036339A">
            <w:pPr>
              <w:pStyle w:val="a9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1027401635854, ИНН 7430000333, КПП 743001001 тел</w:t>
            </w:r>
            <w:proofErr w:type="gramStart"/>
            <w:r>
              <w:rPr>
                <w:rFonts w:ascii="Times New Roman" w:hAnsi="Times New Roman"/>
              </w:rPr>
              <w:t>.(</w:t>
            </w:r>
            <w:proofErr w:type="gramEnd"/>
            <w:r>
              <w:rPr>
                <w:rFonts w:ascii="Times New Roman" w:hAnsi="Times New Roman"/>
              </w:rPr>
              <w:t xml:space="preserve">факс) 8(351-45)94-1-43 </w:t>
            </w:r>
          </w:p>
          <w:p w:rsidR="00D11BC7" w:rsidRDefault="00D11BC7" w:rsidP="0036339A">
            <w:pPr>
              <w:pStyle w:val="a9"/>
              <w:spacing w:line="276" w:lineRule="auto"/>
              <w:rPr>
                <w:rFonts w:ascii="Times New Roman" w:hAnsi="Times New Roman"/>
              </w:rPr>
            </w:pPr>
          </w:p>
          <w:p w:rsidR="00D11BC7" w:rsidRDefault="00D11BC7" w:rsidP="00D11BC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08D">
        <w:rPr>
          <w:sz w:val="22"/>
          <w:szCs w:val="22"/>
        </w:rPr>
        <w:t xml:space="preserve">               </w:t>
      </w:r>
    </w:p>
    <w:p w:rsidR="00A172A3" w:rsidRPr="00387BE1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color w:val="FF0000"/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AE1B84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 xml:space="preserve">на территории </w:t>
      </w:r>
      <w:r w:rsidR="00D11BC7">
        <w:rPr>
          <w:bCs/>
          <w:color w:val="000000"/>
          <w:sz w:val="28"/>
          <w:szCs w:val="28"/>
        </w:rPr>
        <w:t>Каратабанского сельского поселения</w:t>
      </w: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11BC7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от</w:t>
      </w:r>
      <w:r w:rsidR="008C116C">
        <w:rPr>
          <w:sz w:val="28"/>
          <w:szCs w:val="28"/>
        </w:rPr>
        <w:t xml:space="preserve"> 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</w:t>
      </w:r>
      <w:r w:rsidR="004C0734" w:rsidRPr="009C771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D11BC7">
        <w:rPr>
          <w:sz w:val="28"/>
          <w:szCs w:val="28"/>
          <w:shd w:val="clear" w:color="auto" w:fill="FFFFFF"/>
        </w:rPr>
        <w:t xml:space="preserve"> </w:t>
      </w:r>
      <w:r w:rsidR="00216F0B" w:rsidRPr="002B4CAB">
        <w:rPr>
          <w:sz w:val="28"/>
          <w:szCs w:val="28"/>
        </w:rPr>
        <w:t xml:space="preserve">администрация </w:t>
      </w:r>
      <w:r w:rsidR="00D11BC7">
        <w:rPr>
          <w:sz w:val="28"/>
          <w:szCs w:val="28"/>
        </w:rPr>
        <w:t>Каратабанского сельского поселения</w:t>
      </w:r>
      <w:proofErr w:type="gramEnd"/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>ПОСТАНОВЛЯЕТ:</w:t>
      </w:r>
    </w:p>
    <w:p w:rsidR="00A11824" w:rsidRPr="00A11824" w:rsidRDefault="002B350B" w:rsidP="00A11824">
      <w:pPr>
        <w:pStyle w:val="af2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типовую форму проверочного листа используемого</w:t>
      </w:r>
      <w:r w:rsidR="005727B3">
        <w:rPr>
          <w:bCs/>
          <w:color w:val="000000"/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5727B3">
        <w:rPr>
          <w:bCs/>
          <w:color w:val="000000"/>
          <w:sz w:val="28"/>
          <w:szCs w:val="28"/>
        </w:rPr>
        <w:t xml:space="preserve">в сфере благоустройства </w:t>
      </w:r>
      <w:r w:rsidR="00A11824" w:rsidRPr="00A11824">
        <w:rPr>
          <w:bCs/>
          <w:color w:val="000000"/>
          <w:sz w:val="28"/>
          <w:szCs w:val="28"/>
        </w:rPr>
        <w:t xml:space="preserve">на территории </w:t>
      </w:r>
      <w:r w:rsidR="00D11BC7">
        <w:rPr>
          <w:bCs/>
          <w:color w:val="000000"/>
          <w:sz w:val="28"/>
          <w:szCs w:val="28"/>
        </w:rPr>
        <w:t>Каратабанского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Pr="00EC090D" w:rsidRDefault="00A06509" w:rsidP="00A06509">
      <w:pPr>
        <w:pStyle w:val="af2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EC090D">
        <w:rPr>
          <w:color w:val="000000"/>
          <w:sz w:val="28"/>
          <w:szCs w:val="28"/>
        </w:rPr>
        <w:t>01.03.2022 года.</w:t>
      </w: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EC090D" w:rsidRPr="00844839" w:rsidRDefault="00EC090D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387BE1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11BC7" w:rsidRDefault="00D11BC7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Каратабанского сельского поселения                                        С.В. Данилкин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:rsidR="00D11BC7" w:rsidRDefault="00D11BC7" w:rsidP="00D11BC7">
      <w:pPr>
        <w:autoSpaceDE w:val="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Приложение </w:t>
      </w:r>
    </w:p>
    <w:p w:rsidR="00D11BC7" w:rsidRDefault="00D11BC7" w:rsidP="00D11BC7">
      <w:pPr>
        <w:autoSpaceDE w:val="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к Постановлению администрации</w:t>
      </w:r>
    </w:p>
    <w:p w:rsidR="00D11BC7" w:rsidRDefault="00D11BC7" w:rsidP="00D11BC7">
      <w:pPr>
        <w:autoSpaceDE w:val="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>Каратабанского сельского поселения</w:t>
      </w:r>
    </w:p>
    <w:p w:rsidR="00387BE1" w:rsidRDefault="00D11BC7" w:rsidP="00D11BC7">
      <w:pPr>
        <w:autoSpaceDE w:val="0"/>
        <w:jc w:val="right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от </w:t>
      </w:r>
      <w:r w:rsidR="00445C0C">
        <w:rPr>
          <w:rFonts w:eastAsia="Times New Roman CYR" w:cs="Times New Roman CYR"/>
        </w:rPr>
        <w:t>___________</w:t>
      </w:r>
      <w:r>
        <w:rPr>
          <w:rFonts w:eastAsia="Times New Roman CYR" w:cs="Times New Roman CYR"/>
        </w:rPr>
        <w:t xml:space="preserve"> № </w:t>
      </w:r>
      <w:r w:rsidR="00445C0C">
        <w:rPr>
          <w:rFonts w:eastAsia="Times New Roman CYR" w:cs="Times New Roman CYR"/>
        </w:rPr>
        <w:t>___</w:t>
      </w:r>
      <w:r>
        <w:rPr>
          <w:rFonts w:eastAsia="Times New Roman CYR" w:cs="Times New Roman CYR"/>
        </w:rPr>
        <w:t xml:space="preserve">   </w:t>
      </w:r>
    </w:p>
    <w:p w:rsidR="00D11BC7" w:rsidRDefault="00D11BC7" w:rsidP="00D11BC7">
      <w:pPr>
        <w:autoSpaceDE w:val="0"/>
        <w:jc w:val="right"/>
        <w:rPr>
          <w:rFonts w:eastAsia="Times New Roman CYR" w:cs="Times New Roman CYR"/>
        </w:rPr>
      </w:pPr>
    </w:p>
    <w:p w:rsidR="006422A1" w:rsidRDefault="006422A1" w:rsidP="00D11BC7">
      <w:pPr>
        <w:autoSpaceDE w:val="0"/>
        <w:jc w:val="right"/>
        <w:rPr>
          <w:rFonts w:eastAsia="Times New Roman CYR" w:cs="Times New Roman CYR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6422A1" w:rsidTr="006422A1">
        <w:tc>
          <w:tcPr>
            <w:tcW w:w="3379" w:type="dxa"/>
          </w:tcPr>
          <w:p w:rsidR="006422A1" w:rsidRDefault="006422A1" w:rsidP="00D11BC7">
            <w:pPr>
              <w:autoSpaceDE w:val="0"/>
              <w:jc w:val="right"/>
              <w:rPr>
                <w:rFonts w:eastAsia="Times New Roman CYR" w:cs="Times New Roman CYR"/>
              </w:rPr>
            </w:pPr>
          </w:p>
        </w:tc>
        <w:tc>
          <w:tcPr>
            <w:tcW w:w="3379" w:type="dxa"/>
          </w:tcPr>
          <w:p w:rsidR="006422A1" w:rsidRDefault="006422A1" w:rsidP="00D11BC7">
            <w:pPr>
              <w:autoSpaceDE w:val="0"/>
              <w:jc w:val="right"/>
              <w:rPr>
                <w:rFonts w:eastAsia="Times New Roman CYR" w:cs="Times New Roman CYR"/>
              </w:rPr>
            </w:pPr>
          </w:p>
        </w:tc>
        <w:tc>
          <w:tcPr>
            <w:tcW w:w="3379" w:type="dxa"/>
          </w:tcPr>
          <w:p w:rsidR="006422A1" w:rsidRDefault="006422A1" w:rsidP="00D11BC7">
            <w:pPr>
              <w:autoSpaceDE w:val="0"/>
              <w:jc w:val="right"/>
              <w:rPr>
                <w:rFonts w:eastAsia="Times New Roman CYR" w:cs="Times New Roman CYR"/>
              </w:rPr>
            </w:pPr>
            <w:r>
              <w:rPr>
                <w:sz w:val="24"/>
                <w:szCs w:val="24"/>
              </w:rPr>
              <w:pict>
                <v:rect id="Прямоугольник 8" o:spid="_x0000_s1033" style="position:absolute;left:0;text-align:left;margin-left:1pt;margin-top:1pt;width:108.75pt;height:71.25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      <v:textbox>
                    <w:txbxContent>
                      <w:p w:rsidR="006422A1" w:rsidRDefault="006422A1" w:rsidP="006422A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QR-</w:t>
                        </w:r>
                        <w:r>
                          <w:t>код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6422A1" w:rsidRDefault="006422A1" w:rsidP="00D11BC7">
      <w:pPr>
        <w:autoSpaceDE w:val="0"/>
        <w:jc w:val="right"/>
        <w:rPr>
          <w:rFonts w:eastAsia="Times New Roman CYR" w:cs="Times New Roman CYR"/>
        </w:rPr>
      </w:pPr>
    </w:p>
    <w:p w:rsidR="00D11BC7" w:rsidRDefault="00D11BC7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</w:p>
    <w:p w:rsidR="006422A1" w:rsidRDefault="006422A1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422A1" w:rsidRDefault="006422A1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422A1" w:rsidRDefault="006422A1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A1" w:rsidRDefault="006422A1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D11BC7" w:rsidRDefault="00D11BC7" w:rsidP="00D11BC7">
      <w:pPr>
        <w:pStyle w:val="a9"/>
        <w:ind w:left="-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КАРАТАБАНСКОГО СЕЛЬСКОГО ПОСЕЛЕНИЯ</w:t>
      </w:r>
    </w:p>
    <w:p w:rsidR="00D11BC7" w:rsidRDefault="00D11BC7" w:rsidP="00D11BC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ЕТКУЛЬСКОГО МУНИЦИПАЛЬНОГО РАЙОНА</w:t>
      </w:r>
    </w:p>
    <w:p w:rsidR="00D11BC7" w:rsidRDefault="00D11BC7" w:rsidP="00D11BC7">
      <w:pPr>
        <w:pStyle w:val="a9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ЧЕЛЯБИНСКОЙ ОБЛАСТИ</w:t>
      </w:r>
      <w:r>
        <w:rPr>
          <w:sz w:val="28"/>
          <w:szCs w:val="28"/>
        </w:rPr>
        <w:t xml:space="preserve">                                                  </w:t>
      </w:r>
    </w:p>
    <w:tbl>
      <w:tblPr>
        <w:tblW w:w="9601" w:type="dxa"/>
        <w:jc w:val="center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D11BC7" w:rsidRPr="00D11BC7" w:rsidTr="00D11BC7">
        <w:trPr>
          <w:trHeight w:val="100"/>
          <w:jc w:val="center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D11BC7" w:rsidRPr="00D11BC7" w:rsidRDefault="00D11BC7" w:rsidP="00D11BC7">
            <w:pPr>
              <w:pStyle w:val="a9"/>
              <w:jc w:val="center"/>
              <w:rPr>
                <w:rFonts w:ascii="Times New Roman" w:hAnsi="Times New Roman"/>
              </w:rPr>
            </w:pPr>
            <w:proofErr w:type="gramStart"/>
            <w:r w:rsidRPr="00D11BC7">
              <w:rPr>
                <w:rFonts w:ascii="Times New Roman" w:hAnsi="Times New Roman"/>
              </w:rPr>
              <w:t>456572,  Челябинская область, Еткульский район, с. Каратабан, ул. Набережная, д.6</w:t>
            </w:r>
            <w:proofErr w:type="gramEnd"/>
          </w:p>
          <w:p w:rsidR="00D11BC7" w:rsidRPr="00D11BC7" w:rsidRDefault="00D11BC7" w:rsidP="00D11BC7">
            <w:pPr>
              <w:pStyle w:val="a9"/>
              <w:jc w:val="center"/>
              <w:rPr>
                <w:rFonts w:ascii="Times New Roman" w:hAnsi="Times New Roman"/>
              </w:rPr>
            </w:pPr>
            <w:r w:rsidRPr="00D11BC7">
              <w:rPr>
                <w:rFonts w:ascii="Times New Roman" w:hAnsi="Times New Roman"/>
              </w:rPr>
              <w:t>ОГРН 1027401635854, ИНН 7430000333, КПП 743001001 тел</w:t>
            </w:r>
            <w:proofErr w:type="gramStart"/>
            <w:r w:rsidRPr="00D11BC7">
              <w:rPr>
                <w:rFonts w:ascii="Times New Roman" w:hAnsi="Times New Roman"/>
              </w:rPr>
              <w:t>.(</w:t>
            </w:r>
            <w:proofErr w:type="gramEnd"/>
            <w:r w:rsidRPr="00D11BC7">
              <w:rPr>
                <w:rFonts w:ascii="Times New Roman" w:hAnsi="Times New Roman"/>
              </w:rPr>
              <w:t>факс) 8(351-45)94-1-43</w:t>
            </w:r>
          </w:p>
          <w:p w:rsidR="00D11BC7" w:rsidRPr="00D11BC7" w:rsidRDefault="00D11BC7" w:rsidP="00D11BC7">
            <w:pPr>
              <w:pStyle w:val="a9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5E1BFC" w:rsidRPr="00D11BC7" w:rsidRDefault="005E1BFC" w:rsidP="00D11BC7">
      <w:pPr>
        <w:pStyle w:val="a9"/>
        <w:jc w:val="center"/>
        <w:rPr>
          <w:rFonts w:ascii="Times New Roman" w:eastAsia="Times New Roman CYR" w:hAnsi="Times New Roman"/>
          <w:b/>
          <w:bCs/>
          <w:sz w:val="28"/>
          <w:szCs w:val="28"/>
        </w:rPr>
      </w:pPr>
      <w:r w:rsidRPr="00D11BC7">
        <w:rPr>
          <w:rFonts w:ascii="Times New Roman" w:eastAsia="Times New Roman CYR" w:hAnsi="Times New Roman"/>
          <w:b/>
          <w:bCs/>
          <w:sz w:val="28"/>
          <w:szCs w:val="28"/>
        </w:rPr>
        <w:t xml:space="preserve">МУНИЦИПАЛЬНЫЙ </w:t>
      </w:r>
      <w:r w:rsidR="00387BE1" w:rsidRPr="00D11BC7">
        <w:rPr>
          <w:rFonts w:ascii="Times New Roman" w:eastAsia="Times New Roman CYR" w:hAnsi="Times New Roman"/>
          <w:b/>
          <w:bCs/>
          <w:sz w:val="28"/>
          <w:szCs w:val="28"/>
        </w:rPr>
        <w:t>КОНТРОЛЬ В СФЕРЕ БЛАГОУСТРОЙСТВА</w:t>
      </w:r>
    </w:p>
    <w:p w:rsidR="005E1BFC" w:rsidRPr="00D11BC7" w:rsidRDefault="003958CB" w:rsidP="00D11BC7">
      <w:pPr>
        <w:pStyle w:val="a9"/>
        <w:jc w:val="center"/>
        <w:rPr>
          <w:rFonts w:ascii="Times New Roman" w:eastAsia="Times New Roman CYR" w:hAnsi="Times New Roman"/>
        </w:rPr>
      </w:pPr>
      <w:r w:rsidRPr="003958CB">
        <w:rPr>
          <w:rFonts w:ascii="Times New Roman" w:eastAsia="Andale Sans UI" w:hAnsi="Times New Roman"/>
          <w:noProof/>
        </w:rPr>
        <w:pict>
          <v:line id="Прямая соединительная линия 7" o:spid="_x0000_s1030" style="position:absolute;left:0;text-align:left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  <w:r w:rsidRPr="003958CB">
        <w:rPr>
          <w:rFonts w:ascii="Times New Roman" w:eastAsia="Andale Sans UI" w:hAnsi="Times New Roman"/>
          <w:noProof/>
        </w:rPr>
        <w:pict>
          <v:line id="Прямая соединительная линия 6" o:spid="_x0000_s1029" style="position:absolute;left:0;text-align:left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имя, отчество гражданина или индивидуального </w:t>
      </w:r>
      <w:proofErr w:type="gramStart"/>
      <w:r>
        <w:rPr>
          <w:sz w:val="28"/>
          <w:szCs w:val="28"/>
        </w:rPr>
        <w:t>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  <w:proofErr w:type="gramEnd"/>
    </w:p>
    <w:p w:rsidR="001618AE" w:rsidRDefault="001618AE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муниципального контроля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2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Default="005C425C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Реквизиты решения </w:t>
      </w:r>
      <w:r w:rsidR="00D11BC7">
        <w:rPr>
          <w:sz w:val="28"/>
          <w:szCs w:val="28"/>
        </w:rPr>
        <w:t>администрации Каратабанского 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Default="00601FE7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нормативного правового акта </w:t>
      </w:r>
      <w:r w:rsidR="00D11BC7">
        <w:rPr>
          <w:sz w:val="28"/>
          <w:szCs w:val="28"/>
        </w:rPr>
        <w:t>администрации Каратабанского сельского поселения</w:t>
      </w:r>
      <w:r>
        <w:rPr>
          <w:sz w:val="28"/>
          <w:szCs w:val="28"/>
        </w:rPr>
        <w:t xml:space="preserve"> 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387BE1" w:rsidRDefault="005C425C" w:rsidP="00A06509">
      <w:pPr>
        <w:pStyle w:val="af2"/>
        <w:numPr>
          <w:ilvl w:val="0"/>
          <w:numId w:val="2"/>
        </w:numPr>
        <w:ind w:left="0" w:firstLine="709"/>
        <w:jc w:val="both"/>
        <w:rPr>
          <w:color w:val="FF0000"/>
          <w:sz w:val="28"/>
          <w:szCs w:val="28"/>
        </w:rPr>
      </w:pPr>
      <w:r w:rsidRPr="00D11BC7">
        <w:rPr>
          <w:sz w:val="28"/>
          <w:szCs w:val="28"/>
        </w:rPr>
        <w:t>Должность, фамилия и инициалы должностного лица администрации</w:t>
      </w:r>
      <w:r>
        <w:rPr>
          <w:sz w:val="28"/>
          <w:szCs w:val="28"/>
        </w:rPr>
        <w:t xml:space="preserve"> </w:t>
      </w:r>
      <w:r w:rsidR="00D11BC7">
        <w:rPr>
          <w:sz w:val="28"/>
          <w:szCs w:val="28"/>
        </w:rPr>
        <w:t>Каратабанского сельского поселения</w:t>
      </w:r>
      <w:r>
        <w:rPr>
          <w:sz w:val="28"/>
          <w:szCs w:val="28"/>
        </w:rPr>
        <w:t>, в должностные обязанности которого в соответствии с положением о муниципальном контроле входит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="00D11BC7">
        <w:rPr>
          <w:sz w:val="28"/>
          <w:szCs w:val="28"/>
        </w:rPr>
        <w:t>территории Каратабанского сельского поселения.</w:t>
      </w:r>
    </w:p>
    <w:p w:rsidR="00604E73" w:rsidRDefault="00604E73" w:rsidP="00A06509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1"/>
        <w:tblW w:w="10774" w:type="dxa"/>
        <w:tblInd w:w="-176" w:type="dxa"/>
        <w:tblLayout w:type="fixed"/>
        <w:tblLook w:val="04A0"/>
      </w:tblPr>
      <w:tblGrid>
        <w:gridCol w:w="703"/>
        <w:gridCol w:w="2867"/>
        <w:gridCol w:w="3093"/>
        <w:gridCol w:w="2551"/>
        <w:gridCol w:w="1560"/>
      </w:tblGrid>
      <w:tr w:rsidR="005727B3" w:rsidRPr="00445C0C" w:rsidTr="00445C0C">
        <w:tc>
          <w:tcPr>
            <w:tcW w:w="703" w:type="dxa"/>
          </w:tcPr>
          <w:p w:rsidR="00604E73" w:rsidRPr="00445C0C" w:rsidRDefault="00604E73" w:rsidP="00604E7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 xml:space="preserve">№ </w:t>
            </w:r>
            <w:proofErr w:type="gramStart"/>
            <w:r w:rsidRPr="00445C0C">
              <w:rPr>
                <w:sz w:val="24"/>
                <w:szCs w:val="24"/>
              </w:rPr>
              <w:t>п</w:t>
            </w:r>
            <w:proofErr w:type="gramEnd"/>
            <w:r w:rsidRPr="00445C0C">
              <w:rPr>
                <w:sz w:val="24"/>
                <w:szCs w:val="24"/>
              </w:rPr>
              <w:t>/п</w:t>
            </w:r>
          </w:p>
        </w:tc>
        <w:tc>
          <w:tcPr>
            <w:tcW w:w="2867" w:type="dxa"/>
          </w:tcPr>
          <w:p w:rsidR="00604E73" w:rsidRPr="00445C0C" w:rsidRDefault="00604E73" w:rsidP="00604E73">
            <w:pPr>
              <w:ind w:left="36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Список вопросов</w:t>
            </w:r>
          </w:p>
        </w:tc>
        <w:tc>
          <w:tcPr>
            <w:tcW w:w="3093" w:type="dxa"/>
          </w:tcPr>
          <w:p w:rsidR="00604E73" w:rsidRPr="00445C0C" w:rsidRDefault="00604E73" w:rsidP="00604E7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551" w:type="dxa"/>
          </w:tcPr>
          <w:p w:rsidR="00604E73" w:rsidRPr="00445C0C" w:rsidRDefault="00604E73" w:rsidP="005727B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Ответ на вопрос (да/нет/неприменим</w:t>
            </w:r>
            <w:r w:rsidR="005727B3" w:rsidRPr="00445C0C">
              <w:rPr>
                <w:sz w:val="24"/>
                <w:szCs w:val="24"/>
              </w:rPr>
              <w:t>о)</w:t>
            </w:r>
          </w:p>
        </w:tc>
        <w:tc>
          <w:tcPr>
            <w:tcW w:w="1560" w:type="dxa"/>
          </w:tcPr>
          <w:p w:rsidR="00604E73" w:rsidRPr="00445C0C" w:rsidRDefault="00604E73" w:rsidP="00604E7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Примечание</w:t>
            </w:r>
          </w:p>
        </w:tc>
      </w:tr>
      <w:tr w:rsidR="005727B3" w:rsidRPr="00445C0C" w:rsidTr="00445C0C">
        <w:tc>
          <w:tcPr>
            <w:tcW w:w="703" w:type="dxa"/>
          </w:tcPr>
          <w:p w:rsidR="00604E73" w:rsidRPr="00445C0C" w:rsidRDefault="00604E73" w:rsidP="00604E73">
            <w:pPr>
              <w:pStyle w:val="af2"/>
              <w:ind w:left="0"/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1</w:t>
            </w:r>
          </w:p>
        </w:tc>
        <w:tc>
          <w:tcPr>
            <w:tcW w:w="2867" w:type="dxa"/>
          </w:tcPr>
          <w:p w:rsidR="00604E73" w:rsidRPr="00445C0C" w:rsidRDefault="00CB4046" w:rsidP="00EB2189">
            <w:pPr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3093" w:type="dxa"/>
          </w:tcPr>
          <w:p w:rsidR="00604E73" w:rsidRPr="00445C0C" w:rsidRDefault="00804681" w:rsidP="00804681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Часть 3 р</w:t>
            </w:r>
            <w:r w:rsidR="00445C0C" w:rsidRPr="00445C0C">
              <w:rPr>
                <w:color w:val="000000" w:themeColor="text1"/>
                <w:sz w:val="24"/>
                <w:szCs w:val="24"/>
              </w:rPr>
              <w:t>аздел 2</w:t>
            </w:r>
            <w:r w:rsidR="00445C0C" w:rsidRPr="00445C0C">
              <w:rPr>
                <w:color w:val="FF0000"/>
                <w:sz w:val="24"/>
                <w:szCs w:val="24"/>
              </w:rPr>
              <w:t xml:space="preserve"> </w:t>
            </w:r>
            <w:r w:rsidR="00445C0C" w:rsidRPr="00445C0C">
              <w:rPr>
                <w:rFonts w:eastAsia="Calibri"/>
                <w:sz w:val="24"/>
                <w:szCs w:val="24"/>
                <w:lang w:eastAsia="en-US"/>
              </w:rPr>
              <w:t>Правил содержания и  благоустройства территории Каратабанского сельского поселения  Еткульского  муниципального  района  Челябинской  области, утвержденных Решением Совета депутатов Каратабанского сельского поселения от 18.10.2018г. № 33</w:t>
            </w:r>
          </w:p>
        </w:tc>
        <w:tc>
          <w:tcPr>
            <w:tcW w:w="2551" w:type="dxa"/>
          </w:tcPr>
          <w:p w:rsidR="00604E73" w:rsidRPr="00445C0C" w:rsidRDefault="00604E73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04E73" w:rsidRPr="00445C0C" w:rsidRDefault="00604E73" w:rsidP="00604E73">
            <w:pPr>
              <w:jc w:val="both"/>
              <w:rPr>
                <w:sz w:val="24"/>
                <w:szCs w:val="24"/>
              </w:rPr>
            </w:pPr>
          </w:p>
        </w:tc>
      </w:tr>
      <w:tr w:rsidR="00804681" w:rsidRPr="00445C0C" w:rsidTr="00445C0C">
        <w:tc>
          <w:tcPr>
            <w:tcW w:w="703" w:type="dxa"/>
          </w:tcPr>
          <w:p w:rsidR="00804681" w:rsidRPr="00445C0C" w:rsidRDefault="00006EEA" w:rsidP="00604E7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7" w:type="dxa"/>
          </w:tcPr>
          <w:p w:rsidR="00804681" w:rsidRPr="00445C0C" w:rsidRDefault="00804681" w:rsidP="00604E73">
            <w:pPr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 </w:t>
            </w:r>
          </w:p>
        </w:tc>
        <w:tc>
          <w:tcPr>
            <w:tcW w:w="3093" w:type="dxa"/>
          </w:tcPr>
          <w:p w:rsidR="00804681" w:rsidRPr="00445C0C" w:rsidRDefault="00804681" w:rsidP="0020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3 раздел 1 ст.41  </w:t>
            </w:r>
            <w:r w:rsidRPr="00445C0C">
              <w:rPr>
                <w:rFonts w:eastAsia="Calibri"/>
                <w:sz w:val="24"/>
                <w:szCs w:val="24"/>
                <w:lang w:eastAsia="en-US"/>
              </w:rPr>
              <w:t>Правил содержания и  благоустройства территории Каратабанского сельского поселения  Еткульского  муниципального  района  Челябинской  области, утвержденных Решением Совета депутатов Каратабанского сельского поселения от 18.10.2018г. № 33</w:t>
            </w:r>
          </w:p>
        </w:tc>
        <w:tc>
          <w:tcPr>
            <w:tcW w:w="2551" w:type="dxa"/>
          </w:tcPr>
          <w:p w:rsidR="00804681" w:rsidRPr="00445C0C" w:rsidRDefault="00804681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04681" w:rsidRPr="00445C0C" w:rsidRDefault="00804681" w:rsidP="00604E73">
            <w:pPr>
              <w:jc w:val="both"/>
              <w:rPr>
                <w:sz w:val="24"/>
                <w:szCs w:val="24"/>
              </w:rPr>
            </w:pPr>
          </w:p>
        </w:tc>
      </w:tr>
      <w:tr w:rsidR="00006EEA" w:rsidRPr="00445C0C" w:rsidTr="00445C0C">
        <w:tc>
          <w:tcPr>
            <w:tcW w:w="703" w:type="dxa"/>
          </w:tcPr>
          <w:p w:rsidR="00006EEA" w:rsidRPr="00445C0C" w:rsidRDefault="00006EEA" w:rsidP="00604E7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7" w:type="dxa"/>
          </w:tcPr>
          <w:p w:rsidR="00006EEA" w:rsidRPr="00445C0C" w:rsidRDefault="00006EEA" w:rsidP="005727B3">
            <w:pPr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 xml:space="preserve">Допускается ли выпас сельскохозяйственных </w:t>
            </w:r>
            <w:r w:rsidRPr="00445C0C">
              <w:rPr>
                <w:sz w:val="24"/>
                <w:szCs w:val="24"/>
              </w:rPr>
              <w:lastRenderedPageBreak/>
              <w:t>животных на территориях общего пользования?</w:t>
            </w:r>
          </w:p>
        </w:tc>
        <w:tc>
          <w:tcPr>
            <w:tcW w:w="3093" w:type="dxa"/>
          </w:tcPr>
          <w:p w:rsidR="00006EEA" w:rsidRPr="00445C0C" w:rsidRDefault="00006EEA" w:rsidP="00006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Часть  5 ст.48  </w:t>
            </w:r>
            <w:r w:rsidRPr="00445C0C">
              <w:rPr>
                <w:rFonts w:eastAsia="Calibri"/>
                <w:sz w:val="24"/>
                <w:szCs w:val="24"/>
                <w:lang w:eastAsia="en-US"/>
              </w:rPr>
              <w:t xml:space="preserve">Правил содержания и  </w:t>
            </w:r>
            <w:r w:rsidRPr="00445C0C">
              <w:rPr>
                <w:rFonts w:eastAsia="Calibri"/>
                <w:sz w:val="24"/>
                <w:szCs w:val="24"/>
                <w:lang w:eastAsia="en-US"/>
              </w:rPr>
              <w:lastRenderedPageBreak/>
              <w:t>благоустройства территории Каратабанского сельского поселения  Еткульского  муниципального  района  Челябинской  области, утвержденных Решением Совета депутатов Каратабанского сельского поселения от 18.10.2018г. № 33</w:t>
            </w:r>
          </w:p>
        </w:tc>
        <w:tc>
          <w:tcPr>
            <w:tcW w:w="2551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</w:tr>
      <w:tr w:rsidR="00006EEA" w:rsidRPr="00445C0C" w:rsidTr="00445C0C">
        <w:tc>
          <w:tcPr>
            <w:tcW w:w="703" w:type="dxa"/>
          </w:tcPr>
          <w:p w:rsidR="00006EEA" w:rsidRPr="00445C0C" w:rsidRDefault="00006EEA" w:rsidP="00604E7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67" w:type="dxa"/>
          </w:tcPr>
          <w:p w:rsidR="00006EEA" w:rsidRPr="00445C0C" w:rsidRDefault="00006EEA" w:rsidP="002B350B">
            <w:pPr>
              <w:jc w:val="both"/>
              <w:rPr>
                <w:sz w:val="24"/>
                <w:szCs w:val="24"/>
              </w:rPr>
            </w:pPr>
            <w:r w:rsidRPr="00445C0C">
              <w:rPr>
                <w:sz w:val="24"/>
                <w:szCs w:val="24"/>
              </w:rPr>
              <w:t xml:space="preserve">Имеется ли разрешения на проведение земляных работ, связанных с повреждением зеленых насаждений, нарушений </w:t>
            </w:r>
            <w:bookmarkStart w:id="0" w:name="_GoBack"/>
            <w:bookmarkEnd w:id="0"/>
            <w:r w:rsidRPr="00445C0C">
              <w:rPr>
                <w:sz w:val="24"/>
                <w:szCs w:val="24"/>
              </w:rPr>
              <w:t>конструкций дорог, тротуаров?</w:t>
            </w:r>
          </w:p>
        </w:tc>
        <w:tc>
          <w:tcPr>
            <w:tcW w:w="3093" w:type="dxa"/>
          </w:tcPr>
          <w:p w:rsidR="00006EEA" w:rsidRPr="00445C0C" w:rsidRDefault="00006EEA" w:rsidP="00804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3 раздел 1 </w:t>
            </w:r>
            <w:r w:rsidRPr="00445C0C">
              <w:rPr>
                <w:rFonts w:eastAsia="Calibri"/>
                <w:sz w:val="24"/>
                <w:szCs w:val="24"/>
                <w:lang w:eastAsia="en-US"/>
              </w:rPr>
              <w:t>Правил содержания и  благоустройства территории Каратабанского сельского поселения  Еткульского  муниципального  района  Челябинской  области, утвержденных Решением Совета депутатов Каратабанского сельского поселения от 18.10.2018г. № 33</w:t>
            </w:r>
          </w:p>
        </w:tc>
        <w:tc>
          <w:tcPr>
            <w:tcW w:w="2551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</w:tr>
      <w:tr w:rsidR="00006EEA" w:rsidRPr="00445C0C" w:rsidTr="00445C0C">
        <w:tc>
          <w:tcPr>
            <w:tcW w:w="703" w:type="dxa"/>
          </w:tcPr>
          <w:p w:rsidR="00006EEA" w:rsidRPr="00445C0C" w:rsidRDefault="00006EEA" w:rsidP="00604E73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3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6EEA" w:rsidRPr="00445C0C" w:rsidRDefault="00006EEA" w:rsidP="00604E73">
            <w:pPr>
              <w:jc w:val="both"/>
              <w:rPr>
                <w:sz w:val="24"/>
                <w:szCs w:val="24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A06509">
      <w:headerReference w:type="default" r:id="rId9"/>
      <w:headerReference w:type="first" r:id="rId10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9A" w:rsidRDefault="0009329A" w:rsidP="00B7608D">
      <w:r>
        <w:separator/>
      </w:r>
    </w:p>
  </w:endnote>
  <w:endnote w:type="continuationSeparator" w:id="0">
    <w:p w:rsidR="0009329A" w:rsidRDefault="0009329A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9A" w:rsidRDefault="0009329A" w:rsidP="00B7608D">
      <w:r>
        <w:separator/>
      </w:r>
    </w:p>
  </w:footnote>
  <w:footnote w:type="continuationSeparator" w:id="0">
    <w:p w:rsidR="0009329A" w:rsidRDefault="0009329A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b"/>
      <w:jc w:val="center"/>
    </w:pPr>
  </w:p>
  <w:p w:rsidR="009C7715" w:rsidRDefault="009C771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11" w:rsidRPr="00601FE7" w:rsidRDefault="00B46411" w:rsidP="00B46411">
    <w:pPr>
      <w:pStyle w:val="ab"/>
      <w:jc w:val="right"/>
      <w:rPr>
        <w:b/>
      </w:rPr>
    </w:pPr>
    <w:r w:rsidRPr="00601FE7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06EEA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329A"/>
    <w:rsid w:val="00094817"/>
    <w:rsid w:val="000A1D31"/>
    <w:rsid w:val="000A7ECB"/>
    <w:rsid w:val="000B32F4"/>
    <w:rsid w:val="000D7642"/>
    <w:rsid w:val="000E6F8E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7178D"/>
    <w:rsid w:val="0037189A"/>
    <w:rsid w:val="00380815"/>
    <w:rsid w:val="00383209"/>
    <w:rsid w:val="00387BE1"/>
    <w:rsid w:val="00391ED0"/>
    <w:rsid w:val="003958CB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45C0C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2A1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39EC"/>
    <w:rsid w:val="007A5145"/>
    <w:rsid w:val="007B6F5C"/>
    <w:rsid w:val="007C15F1"/>
    <w:rsid w:val="007C73B5"/>
    <w:rsid w:val="007D045F"/>
    <w:rsid w:val="007D35F5"/>
    <w:rsid w:val="007D42C1"/>
    <w:rsid w:val="007E3509"/>
    <w:rsid w:val="007E43EE"/>
    <w:rsid w:val="007E784E"/>
    <w:rsid w:val="007F442D"/>
    <w:rsid w:val="007F4CF2"/>
    <w:rsid w:val="00802071"/>
    <w:rsid w:val="00802170"/>
    <w:rsid w:val="00804473"/>
    <w:rsid w:val="00804681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A96"/>
    <w:rsid w:val="00D06A3A"/>
    <w:rsid w:val="00D07FAB"/>
    <w:rsid w:val="00D11BC7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C090D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link w:val="aa"/>
    <w:uiPriority w:val="1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3">
    <w:name w:val="footnote text"/>
    <w:basedOn w:val="a"/>
    <w:link w:val="af4"/>
    <w:uiPriority w:val="99"/>
    <w:semiHidden/>
    <w:unhideWhenUsed/>
    <w:rsid w:val="0080447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1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D11B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6A21-BCF9-4FDD-9CC8-77A66B9D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2022-01-17T04:22:00Z</cp:lastPrinted>
  <dcterms:created xsi:type="dcterms:W3CDTF">2017-01-09T03:07:00Z</dcterms:created>
  <dcterms:modified xsi:type="dcterms:W3CDTF">2022-01-25T03:41:00Z</dcterms:modified>
</cp:coreProperties>
</file>